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C4" w:rsidRPr="000A558A" w:rsidRDefault="00375E4B" w:rsidP="00907825">
      <w:pPr>
        <w:jc w:val="center"/>
        <w:rPr>
          <w:sz w:val="28"/>
          <w:lang w:val="it-IT"/>
        </w:rPr>
      </w:pPr>
      <w:r w:rsidRPr="000A558A">
        <w:rPr>
          <w:sz w:val="28"/>
          <w:lang w:val="it-IT"/>
        </w:rPr>
        <w:t>CORTE EUROPEA DEI DIRITTI DELL’UOMO</w:t>
      </w:r>
    </w:p>
    <w:p w:rsidR="006544C4" w:rsidRPr="000A558A" w:rsidRDefault="006544C4" w:rsidP="00375E4B">
      <w:pPr>
        <w:rPr>
          <w:lang w:val="it-IT"/>
        </w:rPr>
      </w:pPr>
    </w:p>
    <w:p w:rsidR="006544C4" w:rsidRPr="00CB5729" w:rsidRDefault="008B3A45" w:rsidP="00907825">
      <w:pPr>
        <w:pStyle w:val="DecHTitle"/>
        <w:rPr>
          <w:lang w:val="it-IT"/>
        </w:rPr>
      </w:pPr>
      <w:r w:rsidRPr="00CB5729">
        <w:rPr>
          <w:szCs w:val="24"/>
          <w:lang w:val="it-IT"/>
        </w:rPr>
        <w:t>QUA</w:t>
      </w:r>
      <w:r w:rsidR="00CB5729" w:rsidRPr="00CB5729">
        <w:rPr>
          <w:szCs w:val="24"/>
          <w:lang w:val="it-IT"/>
        </w:rPr>
        <w:t>RTA SEZIONE</w:t>
      </w:r>
    </w:p>
    <w:p w:rsidR="006544C4" w:rsidRPr="00CB5729" w:rsidRDefault="006544C4" w:rsidP="00907825">
      <w:pPr>
        <w:pStyle w:val="DecHTitle"/>
        <w:rPr>
          <w:caps/>
          <w:sz w:val="32"/>
          <w:lang w:val="it-IT"/>
        </w:rPr>
      </w:pPr>
      <w:r w:rsidRPr="00CB5729">
        <w:rPr>
          <w:lang w:val="it-IT"/>
        </w:rPr>
        <w:t>D</w:t>
      </w:r>
      <w:r w:rsidR="00CB5729" w:rsidRPr="00CB5729">
        <w:rPr>
          <w:lang w:val="it-IT"/>
        </w:rPr>
        <w:t>ECISIONE</w:t>
      </w:r>
    </w:p>
    <w:p w:rsidR="006544C4" w:rsidRPr="00CB5729" w:rsidRDefault="008B3A45" w:rsidP="00907825">
      <w:pPr>
        <w:pStyle w:val="ECHRTitleCentre2"/>
        <w:rPr>
          <w:lang w:val="it-IT"/>
        </w:rPr>
      </w:pPr>
      <w:r w:rsidRPr="00CB5729">
        <w:rPr>
          <w:lang w:val="it-IT"/>
        </w:rPr>
        <w:t>R</w:t>
      </w:r>
      <w:r w:rsidR="00CB5729" w:rsidRPr="00CB5729">
        <w:rPr>
          <w:lang w:val="it-IT"/>
        </w:rPr>
        <w:t>icorso n.</w:t>
      </w:r>
      <w:r w:rsidR="006544C4" w:rsidRPr="00CB5729">
        <w:rPr>
          <w:lang w:val="it-IT"/>
        </w:rPr>
        <w:t xml:space="preserve"> </w:t>
      </w:r>
      <w:r w:rsidRPr="00CB5729">
        <w:rPr>
          <w:lang w:val="it-IT"/>
        </w:rPr>
        <w:t>18976/13</w:t>
      </w:r>
      <w:r w:rsidR="006544C4" w:rsidRPr="00CB5729">
        <w:rPr>
          <w:lang w:val="it-IT"/>
        </w:rPr>
        <w:br/>
      </w:r>
      <w:r w:rsidRPr="00CB5729">
        <w:rPr>
          <w:lang w:val="it-IT"/>
        </w:rPr>
        <w:t>A.C. e F.I.</w:t>
      </w:r>
      <w:r w:rsidRPr="00CB5729">
        <w:rPr>
          <w:lang w:val="it-IT"/>
        </w:rPr>
        <w:br/>
      </w:r>
      <w:r w:rsidR="006544C4" w:rsidRPr="00CB5729">
        <w:rPr>
          <w:lang w:val="it-IT"/>
        </w:rPr>
        <w:t>contr</w:t>
      </w:r>
      <w:r w:rsidR="00CB5729">
        <w:rPr>
          <w:lang w:val="it-IT"/>
        </w:rPr>
        <w:t>o</w:t>
      </w:r>
      <w:r w:rsidR="006544C4" w:rsidRPr="00CB5729">
        <w:rPr>
          <w:lang w:val="it-IT"/>
        </w:rPr>
        <w:t xml:space="preserve"> </w:t>
      </w:r>
      <w:r w:rsidRPr="00CB5729">
        <w:rPr>
          <w:lang w:val="it-IT"/>
        </w:rPr>
        <w:t>l</w:t>
      </w:r>
      <w:r w:rsidR="00656E34" w:rsidRPr="00CB5729">
        <w:rPr>
          <w:lang w:val="it-IT"/>
        </w:rPr>
        <w:t>’</w:t>
      </w:r>
      <w:r w:rsidRPr="00CB5729">
        <w:rPr>
          <w:lang w:val="it-IT"/>
        </w:rPr>
        <w:t>Itali</w:t>
      </w:r>
      <w:r w:rsidR="00CB5729">
        <w:rPr>
          <w:lang w:val="it-IT"/>
        </w:rPr>
        <w:t>a</w:t>
      </w:r>
    </w:p>
    <w:p w:rsidR="008B3A45" w:rsidRPr="007C2B70" w:rsidRDefault="008B3A45" w:rsidP="0099548A">
      <w:pPr>
        <w:pStyle w:val="ECHRPara"/>
        <w:rPr>
          <w:lang w:val="it-IT"/>
        </w:rPr>
      </w:pPr>
      <w:r w:rsidRPr="007C2B70">
        <w:rPr>
          <w:lang w:val="it-IT"/>
        </w:rPr>
        <w:t>La Co</w:t>
      </w:r>
      <w:r w:rsidR="00CB5729" w:rsidRPr="007C2B70">
        <w:rPr>
          <w:lang w:val="it-IT"/>
        </w:rPr>
        <w:t xml:space="preserve">rte europea </w:t>
      </w:r>
      <w:r w:rsidR="007C2B70">
        <w:rPr>
          <w:lang w:val="it-IT"/>
        </w:rPr>
        <w:t>dei d</w:t>
      </w:r>
      <w:r w:rsidR="00CB5729" w:rsidRPr="007C2B70">
        <w:rPr>
          <w:lang w:val="it-IT"/>
        </w:rPr>
        <w:t>iritti dell’uomo (quarta sezione)</w:t>
      </w:r>
      <w:r w:rsidRPr="007C2B70">
        <w:rPr>
          <w:lang w:val="it-IT"/>
        </w:rPr>
        <w:t xml:space="preserve">, </w:t>
      </w:r>
      <w:r w:rsidR="00CB5729" w:rsidRPr="007C2B70">
        <w:rPr>
          <w:lang w:val="it-IT"/>
        </w:rPr>
        <w:t xml:space="preserve">riunita il 6 ottobre </w:t>
      </w:r>
      <w:r w:rsidR="00FE02B1" w:rsidRPr="007C2B70">
        <w:rPr>
          <w:lang w:val="it-IT"/>
        </w:rPr>
        <w:t xml:space="preserve">2015 </w:t>
      </w:r>
      <w:r w:rsidR="00CB5729" w:rsidRPr="007C2B70">
        <w:rPr>
          <w:lang w:val="it-IT"/>
        </w:rPr>
        <w:t>in una Camera composta da</w:t>
      </w:r>
      <w:r w:rsidRPr="007C2B70">
        <w:rPr>
          <w:lang w:val="it-IT"/>
        </w:rPr>
        <w:t>:</w:t>
      </w:r>
    </w:p>
    <w:p w:rsidR="008B3A45" w:rsidRPr="007C2B70" w:rsidRDefault="008B3A45" w:rsidP="00656E34">
      <w:pPr>
        <w:pStyle w:val="ECHRDecisionBody"/>
        <w:rPr>
          <w:lang w:val="it-IT"/>
        </w:rPr>
      </w:pPr>
      <w:r w:rsidRPr="007C2B70">
        <w:rPr>
          <w:lang w:val="it-IT"/>
        </w:rPr>
        <w:tab/>
      </w:r>
      <w:proofErr w:type="spellStart"/>
      <w:r w:rsidRPr="007C2B70">
        <w:rPr>
          <w:lang w:val="it-IT"/>
        </w:rPr>
        <w:t>Päivi</w:t>
      </w:r>
      <w:proofErr w:type="spellEnd"/>
      <w:r w:rsidRPr="007C2B70">
        <w:rPr>
          <w:lang w:val="it-IT"/>
        </w:rPr>
        <w:t xml:space="preserve"> </w:t>
      </w:r>
      <w:proofErr w:type="spellStart"/>
      <w:r w:rsidRPr="007C2B70">
        <w:rPr>
          <w:lang w:val="it-IT"/>
        </w:rPr>
        <w:t>Hirvelä</w:t>
      </w:r>
      <w:proofErr w:type="spellEnd"/>
      <w:r w:rsidRPr="007C2B70">
        <w:rPr>
          <w:lang w:val="it-IT"/>
        </w:rPr>
        <w:t>,</w:t>
      </w:r>
      <w:r w:rsidRPr="007C2B70">
        <w:rPr>
          <w:i/>
          <w:lang w:val="it-IT"/>
        </w:rPr>
        <w:t xml:space="preserve"> pr</w:t>
      </w:r>
      <w:r w:rsidR="007C2B70" w:rsidRPr="007C2B70">
        <w:rPr>
          <w:i/>
          <w:lang w:val="it-IT"/>
        </w:rPr>
        <w:t>e</w:t>
      </w:r>
      <w:r w:rsidRPr="007C2B70">
        <w:rPr>
          <w:i/>
          <w:lang w:val="it-IT"/>
        </w:rPr>
        <w:t>sidente,</w:t>
      </w:r>
      <w:r w:rsidRPr="007C2B70">
        <w:rPr>
          <w:i/>
          <w:lang w:val="it-IT"/>
        </w:rPr>
        <w:br/>
      </w:r>
      <w:r w:rsidRPr="007C2B70">
        <w:rPr>
          <w:lang w:val="it-IT"/>
        </w:rPr>
        <w:tab/>
        <w:t xml:space="preserve">Guido </w:t>
      </w:r>
      <w:proofErr w:type="spellStart"/>
      <w:r w:rsidRPr="007C2B70">
        <w:rPr>
          <w:lang w:val="it-IT"/>
        </w:rPr>
        <w:t>Raimondi</w:t>
      </w:r>
      <w:proofErr w:type="spellEnd"/>
      <w:r w:rsidRPr="007C2B70">
        <w:rPr>
          <w:lang w:val="it-IT"/>
        </w:rPr>
        <w:t>,</w:t>
      </w:r>
      <w:r w:rsidRPr="007C2B70">
        <w:rPr>
          <w:i/>
          <w:lang w:val="it-IT"/>
        </w:rPr>
        <w:br/>
      </w:r>
      <w:r w:rsidRPr="007C2B70">
        <w:rPr>
          <w:lang w:val="it-IT"/>
        </w:rPr>
        <w:tab/>
        <w:t xml:space="preserve">Ledi </w:t>
      </w:r>
      <w:proofErr w:type="spellStart"/>
      <w:r w:rsidRPr="007C2B70">
        <w:rPr>
          <w:lang w:val="it-IT"/>
        </w:rPr>
        <w:t>Bianku</w:t>
      </w:r>
      <w:proofErr w:type="spellEnd"/>
      <w:r w:rsidRPr="007C2B70">
        <w:rPr>
          <w:lang w:val="it-IT"/>
        </w:rPr>
        <w:t>,</w:t>
      </w:r>
      <w:r w:rsidRPr="007C2B70">
        <w:rPr>
          <w:i/>
          <w:lang w:val="it-IT"/>
        </w:rPr>
        <w:br/>
      </w:r>
      <w:r w:rsidRPr="007C2B70">
        <w:rPr>
          <w:lang w:val="it-IT"/>
        </w:rPr>
        <w:tab/>
        <w:t xml:space="preserve">Nona </w:t>
      </w:r>
      <w:proofErr w:type="spellStart"/>
      <w:r w:rsidRPr="007C2B70">
        <w:rPr>
          <w:lang w:val="it-IT"/>
        </w:rPr>
        <w:t>Tsotsoria</w:t>
      </w:r>
      <w:proofErr w:type="spellEnd"/>
      <w:r w:rsidRPr="007C2B70">
        <w:rPr>
          <w:lang w:val="it-IT"/>
        </w:rPr>
        <w:t>,</w:t>
      </w:r>
      <w:r w:rsidRPr="007C2B70">
        <w:rPr>
          <w:i/>
          <w:lang w:val="it-IT"/>
        </w:rPr>
        <w:br/>
      </w:r>
      <w:r w:rsidRPr="007C2B70">
        <w:rPr>
          <w:lang w:val="it-IT"/>
        </w:rPr>
        <w:tab/>
        <w:t xml:space="preserve">Paul </w:t>
      </w:r>
      <w:proofErr w:type="spellStart"/>
      <w:r w:rsidRPr="007C2B70">
        <w:rPr>
          <w:lang w:val="it-IT"/>
        </w:rPr>
        <w:t>Mahoney</w:t>
      </w:r>
      <w:proofErr w:type="spellEnd"/>
      <w:r w:rsidRPr="007C2B70">
        <w:rPr>
          <w:lang w:val="it-IT"/>
        </w:rPr>
        <w:t>,</w:t>
      </w:r>
      <w:r w:rsidRPr="007C2B70">
        <w:rPr>
          <w:i/>
          <w:lang w:val="it-IT"/>
        </w:rPr>
        <w:br/>
      </w:r>
      <w:r w:rsidRPr="007C2B70">
        <w:rPr>
          <w:lang w:val="it-IT"/>
        </w:rPr>
        <w:tab/>
      </w:r>
      <w:proofErr w:type="spellStart"/>
      <w:r w:rsidRPr="007C2B70">
        <w:rPr>
          <w:lang w:val="it-IT"/>
        </w:rPr>
        <w:t>Faris</w:t>
      </w:r>
      <w:proofErr w:type="spellEnd"/>
      <w:r w:rsidRPr="007C2B70">
        <w:rPr>
          <w:lang w:val="it-IT"/>
        </w:rPr>
        <w:t xml:space="preserve"> </w:t>
      </w:r>
      <w:proofErr w:type="spellStart"/>
      <w:r w:rsidRPr="007C2B70">
        <w:rPr>
          <w:lang w:val="it-IT"/>
        </w:rPr>
        <w:t>Vehabović</w:t>
      </w:r>
      <w:proofErr w:type="spellEnd"/>
      <w:r w:rsidRPr="007C2B70">
        <w:rPr>
          <w:lang w:val="it-IT"/>
        </w:rPr>
        <w:t>,</w:t>
      </w:r>
      <w:r w:rsidRPr="007C2B70">
        <w:rPr>
          <w:i/>
          <w:lang w:val="it-IT"/>
        </w:rPr>
        <w:br/>
      </w:r>
      <w:r w:rsidRPr="007C2B70">
        <w:rPr>
          <w:lang w:val="it-IT"/>
        </w:rPr>
        <w:tab/>
      </w:r>
      <w:proofErr w:type="spellStart"/>
      <w:r w:rsidRPr="007C2B70">
        <w:rPr>
          <w:lang w:val="it-IT"/>
        </w:rPr>
        <w:t>Yonko</w:t>
      </w:r>
      <w:proofErr w:type="spellEnd"/>
      <w:r w:rsidRPr="007C2B70">
        <w:rPr>
          <w:lang w:val="it-IT"/>
        </w:rPr>
        <w:t xml:space="preserve"> </w:t>
      </w:r>
      <w:proofErr w:type="spellStart"/>
      <w:r w:rsidRPr="007C2B70">
        <w:rPr>
          <w:lang w:val="it-IT"/>
        </w:rPr>
        <w:t>Grozev</w:t>
      </w:r>
      <w:proofErr w:type="spellEnd"/>
      <w:r w:rsidRPr="007C2B70">
        <w:rPr>
          <w:lang w:val="it-IT"/>
        </w:rPr>
        <w:t>,</w:t>
      </w:r>
      <w:r w:rsidRPr="007C2B70">
        <w:rPr>
          <w:i/>
          <w:lang w:val="it-IT"/>
        </w:rPr>
        <w:t xml:space="preserve"> </w:t>
      </w:r>
      <w:r w:rsidR="007C2B70">
        <w:rPr>
          <w:i/>
          <w:lang w:val="it-IT"/>
        </w:rPr>
        <w:t>giudici</w:t>
      </w:r>
      <w:r w:rsidRPr="007C2B70">
        <w:rPr>
          <w:i/>
          <w:lang w:val="it-IT"/>
        </w:rPr>
        <w:t>,</w:t>
      </w:r>
    </w:p>
    <w:p w:rsidR="008B3A45" w:rsidRPr="007C2B70" w:rsidRDefault="008B3A45" w:rsidP="00656E34">
      <w:pPr>
        <w:pStyle w:val="ECHRDecisionBody"/>
        <w:rPr>
          <w:i/>
          <w:lang w:val="it-IT"/>
        </w:rPr>
      </w:pPr>
      <w:r w:rsidRPr="007C2B70">
        <w:rPr>
          <w:lang w:val="it-IT"/>
        </w:rPr>
        <w:t>e d</w:t>
      </w:r>
      <w:r w:rsidR="007C2B70" w:rsidRPr="007C2B70">
        <w:rPr>
          <w:lang w:val="it-IT"/>
        </w:rPr>
        <w:t>a</w:t>
      </w:r>
      <w:r w:rsidRPr="007C2B70">
        <w:rPr>
          <w:lang w:val="it-IT"/>
        </w:rPr>
        <w:t xml:space="preserve"> </w:t>
      </w:r>
      <w:proofErr w:type="spellStart"/>
      <w:r w:rsidRPr="007C2B70">
        <w:rPr>
          <w:lang w:val="it-IT"/>
        </w:rPr>
        <w:t>Fatoş</w:t>
      </w:r>
      <w:proofErr w:type="spellEnd"/>
      <w:r w:rsidRPr="007C2B70">
        <w:rPr>
          <w:lang w:val="it-IT"/>
        </w:rPr>
        <w:t xml:space="preserve"> Aracı, </w:t>
      </w:r>
      <w:r w:rsidR="007C2B70" w:rsidRPr="007C2B70">
        <w:rPr>
          <w:i/>
          <w:lang w:val="it-IT"/>
        </w:rPr>
        <w:t>cancelliere aggiunto di sezione</w:t>
      </w:r>
      <w:r w:rsidRPr="007C2B70">
        <w:rPr>
          <w:i/>
          <w:lang w:val="it-IT"/>
        </w:rPr>
        <w:t>,</w:t>
      </w:r>
    </w:p>
    <w:p w:rsidR="008B3A45" w:rsidRPr="007C2B70" w:rsidRDefault="008B3A45" w:rsidP="008B3A45">
      <w:pPr>
        <w:pStyle w:val="ECHRPara"/>
        <w:rPr>
          <w:i/>
          <w:lang w:val="it-IT"/>
        </w:rPr>
      </w:pPr>
      <w:r w:rsidRPr="007C2B70">
        <w:rPr>
          <w:lang w:val="it-IT"/>
        </w:rPr>
        <w:t>V</w:t>
      </w:r>
      <w:r w:rsidR="007C2B70" w:rsidRPr="007C2B70">
        <w:rPr>
          <w:lang w:val="it-IT"/>
        </w:rPr>
        <w:t xml:space="preserve">isto il ricorso sopra menzionato, presentato </w:t>
      </w:r>
      <w:r w:rsidR="007C2B70">
        <w:rPr>
          <w:lang w:val="it-IT"/>
        </w:rPr>
        <w:t xml:space="preserve">l’8 marzo </w:t>
      </w:r>
      <w:r w:rsidRPr="007C2B70">
        <w:rPr>
          <w:lang w:val="it-IT"/>
        </w:rPr>
        <w:t>2013,</w:t>
      </w:r>
    </w:p>
    <w:p w:rsidR="008B3A45" w:rsidRPr="007C2B70" w:rsidRDefault="007C2B70" w:rsidP="0099548A">
      <w:pPr>
        <w:pStyle w:val="ECHRPara"/>
        <w:rPr>
          <w:color w:val="000000"/>
          <w:lang w:val="it-IT"/>
        </w:rPr>
      </w:pPr>
      <w:r w:rsidRPr="007C2B70">
        <w:rPr>
          <w:lang w:val="it-IT"/>
        </w:rPr>
        <w:t>Dopo avere deliberato, rende la seguente decisione</w:t>
      </w:r>
      <w:r w:rsidR="008B3A45" w:rsidRPr="007C2B70">
        <w:rPr>
          <w:lang w:val="it-IT"/>
        </w:rPr>
        <w:t>:</w:t>
      </w:r>
    </w:p>
    <w:p w:rsidR="008B3A45" w:rsidRPr="00CF5D5F" w:rsidRDefault="007C2B70" w:rsidP="0099548A">
      <w:pPr>
        <w:pStyle w:val="ECHRTitle1"/>
        <w:rPr>
          <w:lang w:val="it-IT"/>
        </w:rPr>
      </w:pPr>
      <w:r w:rsidRPr="00CF5D5F">
        <w:rPr>
          <w:lang w:val="it-IT"/>
        </w:rPr>
        <w:t>IN FATTO</w:t>
      </w:r>
    </w:p>
    <w:p w:rsidR="008B3A45" w:rsidRPr="00CF5D5F" w:rsidRDefault="008B3A45" w:rsidP="0099548A">
      <w:pPr>
        <w:pStyle w:val="ECHRPara"/>
        <w:rPr>
          <w:lang w:val="it-IT"/>
        </w:rPr>
      </w:pPr>
      <w:r w:rsidRPr="00CF5D5F">
        <w:rPr>
          <w:lang w:val="it-IT"/>
        </w:rPr>
        <w:t>1.  </w:t>
      </w:r>
      <w:r w:rsidR="007C2B70" w:rsidRPr="00CF5D5F">
        <w:rPr>
          <w:lang w:val="it-IT"/>
        </w:rPr>
        <w:t>I ricorrenti, il sig.</w:t>
      </w:r>
      <w:r w:rsidRPr="00CF5D5F">
        <w:rPr>
          <w:lang w:val="it-IT"/>
        </w:rPr>
        <w:t xml:space="preserve"> </w:t>
      </w:r>
      <w:r w:rsidRPr="007C2B70">
        <w:rPr>
          <w:lang w:val="it-IT"/>
        </w:rPr>
        <w:t>A.C. e</w:t>
      </w:r>
      <w:r w:rsidR="007C2B70" w:rsidRPr="007C2B70">
        <w:rPr>
          <w:lang w:val="it-IT"/>
        </w:rPr>
        <w:t xml:space="preserve"> la sig.ra </w:t>
      </w:r>
      <w:r w:rsidRPr="007C2B70">
        <w:rPr>
          <w:lang w:val="it-IT"/>
        </w:rPr>
        <w:t>F.I., son</w:t>
      </w:r>
      <w:r w:rsidR="007C2B70" w:rsidRPr="007C2B70">
        <w:rPr>
          <w:lang w:val="it-IT"/>
        </w:rPr>
        <w:t xml:space="preserve">o dei cittadini italiani, nati rispettivamente nel 1959 e nel 1961. </w:t>
      </w:r>
      <w:r w:rsidR="007C2B70">
        <w:rPr>
          <w:lang w:val="it-IT"/>
        </w:rPr>
        <w:t>Il luogo in cui risiedono non è noto</w:t>
      </w:r>
      <w:r w:rsidRPr="007C2B70">
        <w:rPr>
          <w:lang w:val="it-IT"/>
        </w:rPr>
        <w:t xml:space="preserve">. </w:t>
      </w:r>
      <w:r w:rsidR="007C2B70" w:rsidRPr="007C2B70">
        <w:rPr>
          <w:lang w:val="it-IT"/>
        </w:rPr>
        <w:t xml:space="preserve">Davanti alla Corte sono stati rappresentati dall’avv. </w:t>
      </w:r>
      <w:r w:rsidR="007C2B70" w:rsidRPr="00CF5D5F">
        <w:rPr>
          <w:lang w:val="it-IT"/>
        </w:rPr>
        <w:t xml:space="preserve">A. </w:t>
      </w:r>
      <w:r w:rsidRPr="00CF5D5F">
        <w:rPr>
          <w:lang w:val="it-IT"/>
        </w:rPr>
        <w:t>Pettini</w:t>
      </w:r>
      <w:r w:rsidR="007C2B70" w:rsidRPr="00CF5D5F">
        <w:rPr>
          <w:lang w:val="it-IT"/>
        </w:rPr>
        <w:t xml:space="preserve"> del foro di Firenze</w:t>
      </w:r>
      <w:r w:rsidRPr="00CF5D5F">
        <w:rPr>
          <w:lang w:val="it-IT"/>
        </w:rPr>
        <w:t>.</w:t>
      </w:r>
    </w:p>
    <w:p w:rsidR="008B3A45" w:rsidRPr="00CA1EE3" w:rsidRDefault="008B3A45" w:rsidP="0099548A">
      <w:pPr>
        <w:pStyle w:val="ECHRHeading2"/>
        <w:rPr>
          <w:lang w:val="it-IT"/>
        </w:rPr>
      </w:pPr>
      <w:r w:rsidRPr="00CF5D5F">
        <w:rPr>
          <w:lang w:val="it-IT"/>
        </w:rPr>
        <w:lastRenderedPageBreak/>
        <w:t>A.  </w:t>
      </w:r>
      <w:r w:rsidRPr="00CA1EE3">
        <w:rPr>
          <w:lang w:val="it-IT"/>
        </w:rPr>
        <w:t>Le</w:t>
      </w:r>
      <w:r w:rsidR="00CA1EE3" w:rsidRPr="00CA1EE3">
        <w:rPr>
          <w:lang w:val="it-IT"/>
        </w:rPr>
        <w:t xml:space="preserve"> circostanze del caso di specie</w:t>
      </w:r>
    </w:p>
    <w:p w:rsidR="008B3A45" w:rsidRPr="00CA1EE3" w:rsidRDefault="008B3A45" w:rsidP="0099548A">
      <w:pPr>
        <w:pStyle w:val="ECHRPara"/>
        <w:rPr>
          <w:lang w:val="it-IT"/>
        </w:rPr>
      </w:pPr>
      <w:r w:rsidRPr="00CF5D5F">
        <w:rPr>
          <w:lang w:val="it-IT"/>
        </w:rPr>
        <w:t>2.  </w:t>
      </w:r>
      <w:r w:rsidR="00CA1EE3" w:rsidRPr="00CA1EE3">
        <w:rPr>
          <w:lang w:val="it-IT"/>
        </w:rPr>
        <w:t>I fatti di causa, così come esposti dai ricorrenti, si possono riassumere come segue</w:t>
      </w:r>
      <w:r w:rsidRPr="00CA1EE3">
        <w:rPr>
          <w:lang w:val="it-IT"/>
        </w:rPr>
        <w:t>.</w:t>
      </w:r>
    </w:p>
    <w:p w:rsidR="008B3A45" w:rsidRPr="00CA1EE3" w:rsidRDefault="008B3A45" w:rsidP="0099548A">
      <w:pPr>
        <w:pStyle w:val="ECHRPara"/>
        <w:rPr>
          <w:lang w:val="it-IT"/>
        </w:rPr>
      </w:pPr>
      <w:r w:rsidRPr="00CF5D5F">
        <w:rPr>
          <w:lang w:val="it-IT"/>
        </w:rPr>
        <w:t>3.  </w:t>
      </w:r>
      <w:r w:rsidR="00CA1EE3" w:rsidRPr="00CA1EE3">
        <w:rPr>
          <w:lang w:val="it-IT"/>
        </w:rPr>
        <w:t xml:space="preserve">I ricorrenti sono una coppia sposata. </w:t>
      </w:r>
      <w:r w:rsidR="00CA1EE3">
        <w:rPr>
          <w:lang w:val="it-IT"/>
        </w:rPr>
        <w:t>Nel 1993 e nel 1995 aprirono un bar</w:t>
      </w:r>
      <w:r w:rsidRPr="00CA1EE3">
        <w:rPr>
          <w:lang w:val="it-IT"/>
        </w:rPr>
        <w:t xml:space="preserve"> e</w:t>
      </w:r>
      <w:r w:rsidR="00CA1EE3" w:rsidRPr="00CA1EE3">
        <w:rPr>
          <w:lang w:val="it-IT"/>
        </w:rPr>
        <w:t xml:space="preserve"> una pizzeria in due comuni della provincia</w:t>
      </w:r>
      <w:r w:rsidRPr="00CA1EE3">
        <w:rPr>
          <w:lang w:val="it-IT"/>
        </w:rPr>
        <w:t xml:space="preserve"> d</w:t>
      </w:r>
      <w:r w:rsidR="00CA1EE3" w:rsidRPr="00CA1EE3">
        <w:rPr>
          <w:lang w:val="it-IT"/>
        </w:rPr>
        <w:t xml:space="preserve">i </w:t>
      </w:r>
      <w:r w:rsidRPr="00CA1EE3">
        <w:rPr>
          <w:lang w:val="it-IT"/>
        </w:rPr>
        <w:t>Agrigent</w:t>
      </w:r>
      <w:r w:rsidR="00CA1EE3" w:rsidRPr="00CA1EE3">
        <w:rPr>
          <w:lang w:val="it-IT"/>
        </w:rPr>
        <w:t>o</w:t>
      </w:r>
      <w:r w:rsidRPr="00CA1EE3">
        <w:rPr>
          <w:lang w:val="it-IT"/>
        </w:rPr>
        <w:t xml:space="preserve">. </w:t>
      </w:r>
      <w:r w:rsidR="00CA1EE3" w:rsidRPr="00CA1EE3">
        <w:rPr>
          <w:lang w:val="it-IT"/>
        </w:rPr>
        <w:t>Queste attività commerciali generavano profitti, ma i ricorrenti fur</w:t>
      </w:r>
      <w:r w:rsidR="00CA1EE3">
        <w:rPr>
          <w:lang w:val="it-IT"/>
        </w:rPr>
        <w:t>o</w:t>
      </w:r>
      <w:r w:rsidR="00CA1EE3" w:rsidRPr="00CA1EE3">
        <w:rPr>
          <w:lang w:val="it-IT"/>
        </w:rPr>
        <w:t>no oggetto di pressioni da parte di organizzazioni criminali locali, che volevano acquisirle. Secondo la versione dei ricorrenti</w:t>
      </w:r>
      <w:r w:rsidRPr="00CA1EE3">
        <w:rPr>
          <w:lang w:val="it-IT"/>
        </w:rPr>
        <w:t xml:space="preserve">, </w:t>
      </w:r>
      <w:r w:rsidR="00CA1EE3" w:rsidRPr="00CA1EE3">
        <w:rPr>
          <w:lang w:val="it-IT"/>
        </w:rPr>
        <w:t>nel marzo e nell’aprile del 1996 furono commessi due omicidi per intimidirli.</w:t>
      </w:r>
    </w:p>
    <w:p w:rsidR="008B3A45" w:rsidRPr="000114DB" w:rsidRDefault="008B3A45" w:rsidP="0099548A">
      <w:pPr>
        <w:pStyle w:val="ECHRPara"/>
        <w:rPr>
          <w:lang w:val="it-IT"/>
        </w:rPr>
      </w:pPr>
      <w:r w:rsidRPr="00CF5D5F">
        <w:rPr>
          <w:lang w:val="it-IT"/>
        </w:rPr>
        <w:t>4.  </w:t>
      </w:r>
      <w:r w:rsidR="00CA1EE3" w:rsidRPr="000114DB">
        <w:rPr>
          <w:lang w:val="it-IT"/>
        </w:rPr>
        <w:t xml:space="preserve">I ricorrenti </w:t>
      </w:r>
      <w:r w:rsidR="000114DB" w:rsidRPr="000114DB">
        <w:rPr>
          <w:lang w:val="it-IT"/>
        </w:rPr>
        <w:t xml:space="preserve">decisero allora di cedere alle pressioni e vendettero il bar a un prezzo </w:t>
      </w:r>
      <w:r w:rsidRPr="000114DB">
        <w:rPr>
          <w:lang w:val="it-IT"/>
        </w:rPr>
        <w:t>(12</w:t>
      </w:r>
      <w:r w:rsidR="000114DB" w:rsidRPr="000114DB">
        <w:rPr>
          <w:lang w:val="it-IT"/>
        </w:rPr>
        <w:t>.</w:t>
      </w:r>
      <w:r w:rsidRPr="000114DB">
        <w:rPr>
          <w:lang w:val="it-IT"/>
        </w:rPr>
        <w:t>000</w:t>
      </w:r>
      <w:r w:rsidR="000114DB" w:rsidRPr="000114DB">
        <w:rPr>
          <w:lang w:val="it-IT"/>
        </w:rPr>
        <w:t>.</w:t>
      </w:r>
      <w:r w:rsidRPr="000114DB">
        <w:rPr>
          <w:lang w:val="it-IT"/>
        </w:rPr>
        <w:t xml:space="preserve">000 lire (ITL) – </w:t>
      </w:r>
      <w:r w:rsidR="000114DB" w:rsidRPr="000114DB">
        <w:rPr>
          <w:lang w:val="it-IT"/>
        </w:rPr>
        <w:t>circa</w:t>
      </w:r>
      <w:r w:rsidRPr="000114DB">
        <w:rPr>
          <w:lang w:val="it-IT"/>
        </w:rPr>
        <w:t xml:space="preserve"> 6</w:t>
      </w:r>
      <w:r w:rsidR="000114DB" w:rsidRPr="000114DB">
        <w:rPr>
          <w:lang w:val="it-IT"/>
        </w:rPr>
        <w:t>.</w:t>
      </w:r>
      <w:r w:rsidRPr="000114DB">
        <w:rPr>
          <w:lang w:val="it-IT"/>
        </w:rPr>
        <w:t>197 euro (EUR)) inf</w:t>
      </w:r>
      <w:r w:rsidR="000114DB" w:rsidRPr="000114DB">
        <w:rPr>
          <w:lang w:val="it-IT"/>
        </w:rPr>
        <w:t>eriore al suo valore di mercato</w:t>
      </w:r>
      <w:r w:rsidRPr="000114DB">
        <w:rPr>
          <w:lang w:val="it-IT"/>
        </w:rPr>
        <w:t xml:space="preserve"> (90</w:t>
      </w:r>
      <w:r w:rsidR="000114DB" w:rsidRPr="000114DB">
        <w:rPr>
          <w:lang w:val="it-IT"/>
        </w:rPr>
        <w:t>.</w:t>
      </w:r>
      <w:r w:rsidRPr="000114DB">
        <w:rPr>
          <w:lang w:val="it-IT"/>
        </w:rPr>
        <w:t>000</w:t>
      </w:r>
      <w:r w:rsidR="000114DB" w:rsidRPr="000114DB">
        <w:rPr>
          <w:lang w:val="it-IT"/>
        </w:rPr>
        <w:t>.</w:t>
      </w:r>
      <w:r w:rsidRPr="000114DB">
        <w:rPr>
          <w:lang w:val="it-IT"/>
        </w:rPr>
        <w:t xml:space="preserve">000 ITL – </w:t>
      </w:r>
      <w:r w:rsidR="000114DB" w:rsidRPr="000114DB">
        <w:rPr>
          <w:lang w:val="it-IT"/>
        </w:rPr>
        <w:t>circa</w:t>
      </w:r>
      <w:r w:rsidRPr="000114DB">
        <w:rPr>
          <w:lang w:val="it-IT"/>
        </w:rPr>
        <w:t xml:space="preserve"> 46</w:t>
      </w:r>
      <w:r w:rsidR="000114DB" w:rsidRPr="000114DB">
        <w:rPr>
          <w:lang w:val="it-IT"/>
        </w:rPr>
        <w:t>.</w:t>
      </w:r>
      <w:r w:rsidRPr="000114DB">
        <w:rPr>
          <w:lang w:val="it-IT"/>
        </w:rPr>
        <w:t>481</w:t>
      </w:r>
      <w:r w:rsidR="000114DB" w:rsidRPr="000114DB">
        <w:rPr>
          <w:lang w:val="it-IT"/>
        </w:rPr>
        <w:t xml:space="preserve"> </w:t>
      </w:r>
      <w:r w:rsidRPr="000114DB">
        <w:rPr>
          <w:lang w:val="it-IT"/>
        </w:rPr>
        <w:t xml:space="preserve">EUR). </w:t>
      </w:r>
      <w:r w:rsidR="000114DB">
        <w:rPr>
          <w:lang w:val="it-IT"/>
        </w:rPr>
        <w:t xml:space="preserve">Essi firmarono inoltre un compromesso per la vendita della pizzeria al prezzo di </w:t>
      </w:r>
      <w:r w:rsidRPr="000114DB">
        <w:rPr>
          <w:lang w:val="it-IT"/>
        </w:rPr>
        <w:t>38</w:t>
      </w:r>
      <w:r w:rsidR="000114DB">
        <w:rPr>
          <w:lang w:val="it-IT"/>
        </w:rPr>
        <w:t>.</w:t>
      </w:r>
      <w:r w:rsidRPr="000114DB">
        <w:rPr>
          <w:lang w:val="it-IT"/>
        </w:rPr>
        <w:t>000</w:t>
      </w:r>
      <w:r w:rsidR="000114DB">
        <w:rPr>
          <w:lang w:val="it-IT"/>
        </w:rPr>
        <w:t>.</w:t>
      </w:r>
      <w:r w:rsidRPr="000114DB">
        <w:rPr>
          <w:lang w:val="it-IT"/>
        </w:rPr>
        <w:t>000 ITL (</w:t>
      </w:r>
      <w:r w:rsidR="000114DB">
        <w:rPr>
          <w:lang w:val="it-IT"/>
        </w:rPr>
        <w:t>circa</w:t>
      </w:r>
      <w:r w:rsidRPr="000114DB">
        <w:rPr>
          <w:lang w:val="it-IT"/>
        </w:rPr>
        <w:t xml:space="preserve"> 19</w:t>
      </w:r>
      <w:r w:rsidR="000114DB">
        <w:rPr>
          <w:lang w:val="it-IT"/>
        </w:rPr>
        <w:t>.</w:t>
      </w:r>
      <w:r w:rsidRPr="000114DB">
        <w:rPr>
          <w:lang w:val="it-IT"/>
        </w:rPr>
        <w:t>625 EUR).</w:t>
      </w:r>
    </w:p>
    <w:p w:rsidR="008B3A45" w:rsidRPr="008319AC" w:rsidRDefault="008B3A45" w:rsidP="0099548A">
      <w:pPr>
        <w:pStyle w:val="ECHRPara"/>
        <w:rPr>
          <w:lang w:val="it-IT"/>
        </w:rPr>
      </w:pPr>
      <w:r w:rsidRPr="00CF5D5F">
        <w:rPr>
          <w:lang w:val="it-IT"/>
        </w:rPr>
        <w:t>5.  </w:t>
      </w:r>
      <w:r w:rsidR="008319AC" w:rsidRPr="008319AC">
        <w:rPr>
          <w:lang w:val="it-IT"/>
        </w:rPr>
        <w:t xml:space="preserve">Nell’ottobre </w:t>
      </w:r>
      <w:r w:rsidRPr="008319AC">
        <w:rPr>
          <w:lang w:val="it-IT"/>
        </w:rPr>
        <w:t>1996</w:t>
      </w:r>
      <w:r w:rsidR="008319AC" w:rsidRPr="008319AC">
        <w:rPr>
          <w:lang w:val="it-IT"/>
        </w:rPr>
        <w:t xml:space="preserve"> la ricorrente decise di presentare denuncia</w:t>
      </w:r>
      <w:r w:rsidRPr="008319AC">
        <w:rPr>
          <w:lang w:val="it-IT"/>
        </w:rPr>
        <w:t xml:space="preserve">, </w:t>
      </w:r>
      <w:r w:rsidR="008319AC" w:rsidRPr="008319AC">
        <w:rPr>
          <w:lang w:val="it-IT"/>
        </w:rPr>
        <w:t>il che portò all’arresto delle persone responsabili degli omicidi. Nel maggio</w:t>
      </w:r>
      <w:r w:rsidRPr="008319AC">
        <w:rPr>
          <w:lang w:val="it-IT"/>
        </w:rPr>
        <w:t xml:space="preserve"> 1998</w:t>
      </w:r>
      <w:r w:rsidR="008319AC" w:rsidRPr="008319AC">
        <w:rPr>
          <w:lang w:val="it-IT"/>
        </w:rPr>
        <w:t xml:space="preserve"> i ricorrenti</w:t>
      </w:r>
      <w:r w:rsidRPr="008319AC">
        <w:rPr>
          <w:lang w:val="it-IT"/>
        </w:rPr>
        <w:t xml:space="preserve">, </w:t>
      </w:r>
      <w:r w:rsidR="008319AC" w:rsidRPr="008319AC">
        <w:rPr>
          <w:lang w:val="it-IT"/>
        </w:rPr>
        <w:t>che nel frattempo avevano ricevuto numerose minacce di morte, furono inseriti nel programma di protezione dei testimoni previsto dalla legge</w:t>
      </w:r>
      <w:r w:rsidR="008319AC">
        <w:rPr>
          <w:lang w:val="it-IT"/>
        </w:rPr>
        <w:t xml:space="preserve"> n. 82 del 15 marzo </w:t>
      </w:r>
      <w:r w:rsidRPr="008319AC">
        <w:rPr>
          <w:lang w:val="it-IT"/>
        </w:rPr>
        <w:t xml:space="preserve">1991. </w:t>
      </w:r>
      <w:r w:rsidR="008319AC">
        <w:rPr>
          <w:lang w:val="it-IT"/>
        </w:rPr>
        <w:t>Di conseguenza, i ricorrenti e i loro due figli furono trasferiti in luoghi lontani e segreti</w:t>
      </w:r>
      <w:r w:rsidRPr="008319AC">
        <w:rPr>
          <w:lang w:val="it-IT"/>
        </w:rPr>
        <w:t>.</w:t>
      </w:r>
    </w:p>
    <w:p w:rsidR="008B3A45" w:rsidRPr="008319AC" w:rsidRDefault="008B3A45" w:rsidP="0099548A">
      <w:pPr>
        <w:pStyle w:val="ECHRPara"/>
        <w:rPr>
          <w:lang w:val="it-IT"/>
        </w:rPr>
      </w:pPr>
      <w:bookmarkStart w:id="0" w:name="articolo16"/>
      <w:r w:rsidRPr="00CF5D5F">
        <w:rPr>
          <w:lang w:val="it-IT"/>
        </w:rPr>
        <w:t>6</w:t>
      </w:r>
      <w:bookmarkEnd w:id="0"/>
      <w:r w:rsidRPr="00CF5D5F">
        <w:rPr>
          <w:lang w:val="it-IT"/>
        </w:rPr>
        <w:t>.  </w:t>
      </w:r>
      <w:r w:rsidRPr="008319AC">
        <w:rPr>
          <w:lang w:val="it-IT"/>
        </w:rPr>
        <w:t>A</w:t>
      </w:r>
      <w:r w:rsidR="008319AC" w:rsidRPr="008319AC">
        <w:rPr>
          <w:lang w:val="it-IT"/>
        </w:rPr>
        <w:t xml:space="preserve">i sensi dell’articolo </w:t>
      </w:r>
      <w:r w:rsidRPr="008319AC">
        <w:rPr>
          <w:lang w:val="it-IT"/>
        </w:rPr>
        <w:t>16</w:t>
      </w:r>
      <w:r w:rsidRPr="008319AC">
        <w:rPr>
          <w:i/>
          <w:lang w:val="it-IT"/>
        </w:rPr>
        <w:t xml:space="preserve">ter </w:t>
      </w:r>
      <w:r w:rsidR="008319AC" w:rsidRPr="008319AC">
        <w:rPr>
          <w:lang w:val="it-IT"/>
        </w:rPr>
        <w:t>c.</w:t>
      </w:r>
      <w:r w:rsidRPr="008319AC">
        <w:rPr>
          <w:lang w:val="it-IT"/>
        </w:rPr>
        <w:t xml:space="preserve"> 1 de</w:t>
      </w:r>
      <w:r w:rsidR="008319AC">
        <w:rPr>
          <w:lang w:val="it-IT"/>
        </w:rPr>
        <w:t>l</w:t>
      </w:r>
      <w:r w:rsidRPr="008319AC">
        <w:rPr>
          <w:lang w:val="it-IT"/>
        </w:rPr>
        <w:t>la l</w:t>
      </w:r>
      <w:r w:rsidR="008319AC">
        <w:rPr>
          <w:lang w:val="it-IT"/>
        </w:rPr>
        <w:t>egge</w:t>
      </w:r>
      <w:r w:rsidRPr="008319AC">
        <w:rPr>
          <w:lang w:val="it-IT"/>
        </w:rPr>
        <w:t xml:space="preserve"> n</w:t>
      </w:r>
      <w:r w:rsidR="008319AC">
        <w:rPr>
          <w:lang w:val="it-IT"/>
        </w:rPr>
        <w:t>.</w:t>
      </w:r>
      <w:r w:rsidRPr="008319AC">
        <w:rPr>
          <w:lang w:val="it-IT"/>
        </w:rPr>
        <w:t xml:space="preserve"> 82 de</w:t>
      </w:r>
      <w:r w:rsidR="008319AC">
        <w:rPr>
          <w:lang w:val="it-IT"/>
        </w:rPr>
        <w:t>l</w:t>
      </w:r>
      <w:r w:rsidRPr="008319AC">
        <w:rPr>
          <w:lang w:val="it-IT"/>
        </w:rPr>
        <w:t xml:space="preserve"> 1991,</w:t>
      </w:r>
    </w:p>
    <w:p w:rsidR="008B3A45" w:rsidRPr="008319AC" w:rsidRDefault="008319AC" w:rsidP="0099548A">
      <w:pPr>
        <w:pStyle w:val="ECHRParaQuote"/>
        <w:rPr>
          <w:lang w:val="it-IT"/>
        </w:rPr>
      </w:pPr>
      <w:r w:rsidRPr="008319AC">
        <w:rPr>
          <w:lang w:val="it-IT"/>
        </w:rPr>
        <w:t>«I testimoni di giustizia cui è applicato lo speciale programma di protezione hanno diritto</w:t>
      </w:r>
      <w:r w:rsidR="008B3A45" w:rsidRPr="008319AC">
        <w:rPr>
          <w:lang w:val="it-IT"/>
        </w:rPr>
        <w:t>:</w:t>
      </w:r>
    </w:p>
    <w:p w:rsidR="008B3A45" w:rsidRPr="008319AC" w:rsidRDefault="008B3A45" w:rsidP="0099548A">
      <w:pPr>
        <w:pStyle w:val="ECHRParaQuote"/>
        <w:rPr>
          <w:lang w:val="it-IT"/>
        </w:rPr>
      </w:pPr>
      <w:r w:rsidRPr="008319AC">
        <w:rPr>
          <w:lang w:val="it-IT"/>
        </w:rPr>
        <w:t xml:space="preserve">a) </w:t>
      </w:r>
      <w:r w:rsidR="008319AC" w:rsidRPr="008319AC">
        <w:rPr>
          <w:lang w:val="it-IT"/>
        </w:rPr>
        <w:t>a misure di protezione fino alla effettiva cessazione del pericolo per sé e per i familiari</w:t>
      </w:r>
      <w:r w:rsidRPr="008319AC">
        <w:rPr>
          <w:lang w:val="it-IT"/>
        </w:rPr>
        <w:t>;</w:t>
      </w:r>
    </w:p>
    <w:p w:rsidR="008B3A45" w:rsidRPr="008319AC" w:rsidRDefault="008B3A45" w:rsidP="0099548A">
      <w:pPr>
        <w:pStyle w:val="ECHRParaQuote"/>
        <w:rPr>
          <w:lang w:val="it-IT"/>
        </w:rPr>
      </w:pPr>
      <w:r w:rsidRPr="008319AC">
        <w:rPr>
          <w:lang w:val="it-IT"/>
        </w:rPr>
        <w:t xml:space="preserve">b) </w:t>
      </w:r>
      <w:r w:rsidR="008319AC" w:rsidRPr="008319AC">
        <w:rPr>
          <w:lang w:val="it-IT"/>
        </w:rPr>
        <w:t>a misure di assistenza, anche oltre la cessazione della protezione, volte a garantire un tenore di vita personale e familiare non inferiore a quello esistente prima dell'avvio del programma, fino a quando non riacquistano la possibilità di godere di un reddito proprio</w:t>
      </w:r>
      <w:r w:rsidRPr="008319AC">
        <w:rPr>
          <w:lang w:val="it-IT"/>
        </w:rPr>
        <w:t>;</w:t>
      </w:r>
    </w:p>
    <w:p w:rsidR="008B3A45" w:rsidRPr="008319AC" w:rsidRDefault="008B3A45" w:rsidP="0099548A">
      <w:pPr>
        <w:pStyle w:val="ECHRParaQuote"/>
        <w:rPr>
          <w:lang w:val="it-IT"/>
        </w:rPr>
      </w:pPr>
      <w:r w:rsidRPr="008319AC">
        <w:rPr>
          <w:lang w:val="it-IT"/>
        </w:rPr>
        <w:t xml:space="preserve">c) </w:t>
      </w:r>
      <w:r w:rsidR="008319AC" w:rsidRPr="008319AC">
        <w:rPr>
          <w:lang w:val="it-IT"/>
        </w:rPr>
        <w:t>alla capitalizzazione del costo dell'assistenza, in alternativa alla stessa</w:t>
      </w:r>
      <w:r w:rsidRPr="008319AC">
        <w:rPr>
          <w:lang w:val="it-IT"/>
        </w:rPr>
        <w:t>;</w:t>
      </w:r>
    </w:p>
    <w:p w:rsidR="008B3A45" w:rsidRPr="008319AC" w:rsidRDefault="008B3A45" w:rsidP="0099548A">
      <w:pPr>
        <w:pStyle w:val="ECHRParaQuote"/>
        <w:rPr>
          <w:lang w:val="it-IT"/>
        </w:rPr>
      </w:pPr>
      <w:r w:rsidRPr="008319AC">
        <w:rPr>
          <w:lang w:val="it-IT"/>
        </w:rPr>
        <w:t xml:space="preserve">d) </w:t>
      </w:r>
      <w:r w:rsidR="008319AC" w:rsidRPr="008319AC">
        <w:rPr>
          <w:lang w:val="it-IT"/>
        </w:rPr>
        <w:t xml:space="preserve">se dipendenti pubblici, al mantenimento del posto di lavoro </w:t>
      </w:r>
      <w:r w:rsidRPr="008319AC">
        <w:rPr>
          <w:lang w:val="it-IT"/>
        </w:rPr>
        <w:t>(...);</w:t>
      </w:r>
    </w:p>
    <w:p w:rsidR="008B3A45" w:rsidRPr="008319AC" w:rsidRDefault="008B3A45" w:rsidP="0099548A">
      <w:pPr>
        <w:pStyle w:val="ECHRParaQuote"/>
        <w:rPr>
          <w:lang w:val="it-IT"/>
        </w:rPr>
      </w:pPr>
      <w:r w:rsidRPr="008319AC">
        <w:rPr>
          <w:lang w:val="it-IT"/>
        </w:rPr>
        <w:t xml:space="preserve">e) </w:t>
      </w:r>
      <w:r w:rsidR="008319AC" w:rsidRPr="008319AC">
        <w:rPr>
          <w:lang w:val="it-IT"/>
        </w:rPr>
        <w:t xml:space="preserve">alla corresponsione di una somma a titolo di mancato guadagno, concordata con la commissione, derivante dalla cessazione dell'attività lavorativa propria e dei familiari </w:t>
      </w:r>
      <w:r w:rsidRPr="008319AC">
        <w:rPr>
          <w:lang w:val="it-IT"/>
        </w:rPr>
        <w:t>(...);</w:t>
      </w:r>
    </w:p>
    <w:p w:rsidR="008B3A45" w:rsidRPr="008319AC" w:rsidRDefault="008B3A45" w:rsidP="0099548A">
      <w:pPr>
        <w:pStyle w:val="ECHRParaQuote"/>
        <w:rPr>
          <w:lang w:val="it-IT"/>
        </w:rPr>
      </w:pPr>
      <w:r w:rsidRPr="008319AC">
        <w:rPr>
          <w:lang w:val="it-IT"/>
        </w:rPr>
        <w:t xml:space="preserve">f) </w:t>
      </w:r>
      <w:r w:rsidR="008319AC" w:rsidRPr="008319AC">
        <w:rPr>
          <w:lang w:val="it-IT"/>
        </w:rPr>
        <w:t>a mutui agevolati volti al completo reinserimento proprio e dei familiari nella vita economica e sociale</w:t>
      </w:r>
      <w:r w:rsidRPr="008319AC">
        <w:rPr>
          <w:lang w:val="it-IT"/>
        </w:rPr>
        <w:t>.»</w:t>
      </w:r>
    </w:p>
    <w:p w:rsidR="008B3A45" w:rsidRPr="00375E4B" w:rsidRDefault="008B3A45" w:rsidP="0099548A">
      <w:pPr>
        <w:pStyle w:val="ECHRPara"/>
        <w:rPr>
          <w:lang w:val="it-IT"/>
        </w:rPr>
      </w:pPr>
      <w:r w:rsidRPr="00CF5D5F">
        <w:rPr>
          <w:lang w:val="it-IT"/>
        </w:rPr>
        <w:t>7.  </w:t>
      </w:r>
      <w:r w:rsidR="00B53A9C" w:rsidRPr="00B53A9C">
        <w:rPr>
          <w:lang w:val="it-IT"/>
        </w:rPr>
        <w:t>Basandosi su questa disposizione, l’11 aprile 2005 i ricorrenti chiesero</w:t>
      </w:r>
      <w:r w:rsidRPr="00B53A9C">
        <w:rPr>
          <w:lang w:val="it-IT"/>
        </w:rPr>
        <w:t>: a) la capitali</w:t>
      </w:r>
      <w:r w:rsidR="00B53A9C" w:rsidRPr="00B53A9C">
        <w:rPr>
          <w:lang w:val="it-IT"/>
        </w:rPr>
        <w:t>zzazione del costo dell’assistenza</w:t>
      </w:r>
      <w:r w:rsidRPr="00B53A9C">
        <w:rPr>
          <w:lang w:val="it-IT"/>
        </w:rPr>
        <w:t>; b) un</w:t>
      </w:r>
      <w:r w:rsidR="00B53A9C" w:rsidRPr="00B53A9C">
        <w:rPr>
          <w:lang w:val="it-IT"/>
        </w:rPr>
        <w:t>a</w:t>
      </w:r>
      <w:r w:rsidRPr="00B53A9C">
        <w:rPr>
          <w:lang w:val="it-IT"/>
        </w:rPr>
        <w:t xml:space="preserve"> somm</w:t>
      </w:r>
      <w:r w:rsidR="00B53A9C" w:rsidRPr="00B53A9C">
        <w:rPr>
          <w:lang w:val="it-IT"/>
        </w:rPr>
        <w:t>a</w:t>
      </w:r>
      <w:r w:rsidRPr="00B53A9C">
        <w:rPr>
          <w:lang w:val="it-IT"/>
        </w:rPr>
        <w:t xml:space="preserve"> </w:t>
      </w:r>
      <w:r w:rsidR="00B53A9C" w:rsidRPr="00B53A9C">
        <w:rPr>
          <w:lang w:val="it-IT"/>
        </w:rPr>
        <w:t>a titolo di mancato guadagno;</w:t>
      </w:r>
      <w:r w:rsidRPr="00B53A9C">
        <w:rPr>
          <w:lang w:val="it-IT"/>
        </w:rPr>
        <w:t xml:space="preserve"> e c) un</w:t>
      </w:r>
      <w:r w:rsidR="00B53A9C" w:rsidRPr="00B53A9C">
        <w:rPr>
          <w:lang w:val="it-IT"/>
        </w:rPr>
        <w:t>a somma a titolo di riparazione dei danni materiali e morali subiti a seguito del loro inserimento nel programma di protezione</w:t>
      </w:r>
      <w:r w:rsidRPr="00B53A9C">
        <w:rPr>
          <w:lang w:val="it-IT"/>
        </w:rPr>
        <w:t xml:space="preserve">. </w:t>
      </w:r>
      <w:r w:rsidR="00B53A9C" w:rsidRPr="00375E4B">
        <w:rPr>
          <w:lang w:val="it-IT"/>
        </w:rPr>
        <w:t>I ricorrenti chiesero la somma complessiva di</w:t>
      </w:r>
      <w:r w:rsidRPr="00375E4B">
        <w:rPr>
          <w:lang w:val="it-IT"/>
        </w:rPr>
        <w:t xml:space="preserve"> 950</w:t>
      </w:r>
      <w:r w:rsidR="00B53A9C" w:rsidRPr="00375E4B">
        <w:rPr>
          <w:lang w:val="it-IT"/>
        </w:rPr>
        <w:t>.</w:t>
      </w:r>
      <w:r w:rsidRPr="00375E4B">
        <w:rPr>
          <w:lang w:val="it-IT"/>
        </w:rPr>
        <w:t>000 EUR.</w:t>
      </w:r>
    </w:p>
    <w:p w:rsidR="008B3A45" w:rsidRPr="007E3028" w:rsidRDefault="008B3A45" w:rsidP="0099548A">
      <w:pPr>
        <w:pStyle w:val="ECHRPara"/>
        <w:rPr>
          <w:lang w:val="it-IT"/>
        </w:rPr>
      </w:pPr>
      <w:r w:rsidRPr="00375E4B">
        <w:rPr>
          <w:lang w:val="it-IT"/>
        </w:rPr>
        <w:lastRenderedPageBreak/>
        <w:t>8.  </w:t>
      </w:r>
      <w:r w:rsidRPr="007E3028">
        <w:rPr>
          <w:lang w:val="it-IT"/>
        </w:rPr>
        <w:t xml:space="preserve">La </w:t>
      </w:r>
      <w:r w:rsidR="00CF5D5F" w:rsidRPr="007E3028">
        <w:rPr>
          <w:lang w:val="it-IT"/>
        </w:rPr>
        <w:t>richiesta dei ricorrenti fu esaminata dalla commissione centra</w:t>
      </w:r>
      <w:r w:rsidR="00BD67B9" w:rsidRPr="007E3028">
        <w:rPr>
          <w:lang w:val="it-IT"/>
        </w:rPr>
        <w:t>l</w:t>
      </w:r>
      <w:r w:rsidR="00CF5D5F" w:rsidRPr="007E3028">
        <w:rPr>
          <w:lang w:val="it-IT"/>
        </w:rPr>
        <w:t xml:space="preserve">e </w:t>
      </w:r>
      <w:r w:rsidR="007E3028" w:rsidRPr="007E3028">
        <w:rPr>
          <w:lang w:val="it-IT"/>
        </w:rPr>
        <w:t>per la definizione e applicazione delle speciali misure di protezione</w:t>
      </w:r>
      <w:r w:rsidR="00BD67B9" w:rsidRPr="007E3028">
        <w:rPr>
          <w:lang w:val="it-IT"/>
        </w:rPr>
        <w:t xml:space="preserve"> pre</w:t>
      </w:r>
      <w:r w:rsidR="007E3028" w:rsidRPr="007E3028">
        <w:rPr>
          <w:lang w:val="it-IT"/>
        </w:rPr>
        <w:t xml:space="preserve">vista dall’articolo </w:t>
      </w:r>
      <w:r w:rsidRPr="007E3028">
        <w:rPr>
          <w:lang w:val="it-IT"/>
        </w:rPr>
        <w:t>10 de</w:t>
      </w:r>
      <w:r w:rsidR="007E3028" w:rsidRPr="007E3028">
        <w:rPr>
          <w:lang w:val="it-IT"/>
        </w:rPr>
        <w:t>l</w:t>
      </w:r>
      <w:r w:rsidRPr="007E3028">
        <w:rPr>
          <w:lang w:val="it-IT"/>
        </w:rPr>
        <w:t>la l</w:t>
      </w:r>
      <w:r w:rsidR="007E3028" w:rsidRPr="007E3028">
        <w:rPr>
          <w:lang w:val="it-IT"/>
        </w:rPr>
        <w:t>egge</w:t>
      </w:r>
      <w:r w:rsidRPr="007E3028">
        <w:rPr>
          <w:lang w:val="it-IT"/>
        </w:rPr>
        <w:t xml:space="preserve"> n</w:t>
      </w:r>
      <w:r w:rsidR="00795BD4">
        <w:rPr>
          <w:lang w:val="it-IT"/>
        </w:rPr>
        <w:t>.</w:t>
      </w:r>
      <w:r w:rsidRPr="007E3028">
        <w:rPr>
          <w:lang w:val="it-IT"/>
        </w:rPr>
        <w:t xml:space="preserve"> 82 de</w:t>
      </w:r>
      <w:r w:rsidR="00795BD4">
        <w:rPr>
          <w:lang w:val="it-IT"/>
        </w:rPr>
        <w:t>l</w:t>
      </w:r>
      <w:r w:rsidRPr="007E3028">
        <w:rPr>
          <w:lang w:val="it-IT"/>
        </w:rPr>
        <w:t xml:space="preserve"> 1991 (</w:t>
      </w:r>
      <w:r w:rsidR="00795BD4">
        <w:rPr>
          <w:lang w:val="it-IT"/>
        </w:rPr>
        <w:t>di seguito</w:t>
      </w:r>
      <w:r w:rsidRPr="007E3028">
        <w:rPr>
          <w:lang w:val="it-IT"/>
        </w:rPr>
        <w:t xml:space="preserve"> la «commission</w:t>
      </w:r>
      <w:r w:rsidR="00795BD4">
        <w:rPr>
          <w:lang w:val="it-IT"/>
        </w:rPr>
        <w:t>e</w:t>
      </w:r>
      <w:r w:rsidRPr="007E3028">
        <w:rPr>
          <w:lang w:val="it-IT"/>
        </w:rPr>
        <w:t xml:space="preserve"> </w:t>
      </w:r>
      <w:r w:rsidRPr="007E3028">
        <w:rPr>
          <w:i/>
          <w:lang w:val="it-IT"/>
        </w:rPr>
        <w:t>ad hoc</w:t>
      </w:r>
      <w:r w:rsidRPr="007E3028">
        <w:rPr>
          <w:lang w:val="it-IT"/>
        </w:rPr>
        <w:t>»).</w:t>
      </w:r>
    </w:p>
    <w:p w:rsidR="008B3A45" w:rsidRPr="00B5543E" w:rsidRDefault="008B3A45" w:rsidP="0099548A">
      <w:pPr>
        <w:pStyle w:val="ECHRPara"/>
        <w:rPr>
          <w:lang w:val="it-IT"/>
        </w:rPr>
      </w:pPr>
      <w:bookmarkStart w:id="1" w:name="decisioncommissionadhoc"/>
      <w:r w:rsidRPr="00375E4B">
        <w:rPr>
          <w:lang w:val="it-IT"/>
        </w:rPr>
        <w:t>9</w:t>
      </w:r>
      <w:bookmarkEnd w:id="1"/>
      <w:r w:rsidRPr="00375E4B">
        <w:rPr>
          <w:lang w:val="it-IT"/>
        </w:rPr>
        <w:t>.  </w:t>
      </w:r>
      <w:r w:rsidR="00795BD4" w:rsidRPr="00795BD4">
        <w:rPr>
          <w:lang w:val="it-IT"/>
        </w:rPr>
        <w:t>Con la decisione n.</w:t>
      </w:r>
      <w:r w:rsidRPr="00795BD4">
        <w:rPr>
          <w:lang w:val="it-IT"/>
        </w:rPr>
        <w:t xml:space="preserve"> 82 d</w:t>
      </w:r>
      <w:r w:rsidR="00795BD4" w:rsidRPr="00795BD4">
        <w:rPr>
          <w:lang w:val="it-IT"/>
        </w:rPr>
        <w:t>el</w:t>
      </w:r>
      <w:r w:rsidRPr="00795BD4">
        <w:rPr>
          <w:lang w:val="it-IT"/>
        </w:rPr>
        <w:t xml:space="preserve"> 19 o</w:t>
      </w:r>
      <w:r w:rsidR="00795BD4" w:rsidRPr="00795BD4">
        <w:rPr>
          <w:lang w:val="it-IT"/>
        </w:rPr>
        <w:t>t</w:t>
      </w:r>
      <w:r w:rsidRPr="00795BD4">
        <w:rPr>
          <w:lang w:val="it-IT"/>
        </w:rPr>
        <w:t>tobre 2005 la commission</w:t>
      </w:r>
      <w:r w:rsidR="00795BD4" w:rsidRPr="00795BD4">
        <w:rPr>
          <w:lang w:val="it-IT"/>
        </w:rPr>
        <w:t xml:space="preserve">e </w:t>
      </w:r>
      <w:r w:rsidRPr="00795BD4">
        <w:rPr>
          <w:i/>
          <w:lang w:val="it-IT"/>
        </w:rPr>
        <w:t>ad hoc</w:t>
      </w:r>
      <w:r w:rsidRPr="00795BD4">
        <w:rPr>
          <w:lang w:val="it-IT"/>
        </w:rPr>
        <w:t xml:space="preserve"> acc</w:t>
      </w:r>
      <w:r w:rsidR="00795BD4" w:rsidRPr="00795BD4">
        <w:rPr>
          <w:lang w:val="it-IT"/>
        </w:rPr>
        <w:t xml:space="preserve">olse soltanto parzialmente la richiesta dei ricorrenti. Essa accordò loro la somma di </w:t>
      </w:r>
      <w:r w:rsidRPr="00795BD4">
        <w:rPr>
          <w:lang w:val="it-IT"/>
        </w:rPr>
        <w:t>267</w:t>
      </w:r>
      <w:r w:rsidR="00795BD4" w:rsidRPr="00795BD4">
        <w:rPr>
          <w:lang w:val="it-IT"/>
        </w:rPr>
        <w:t>.</w:t>
      </w:r>
      <w:r w:rsidRPr="00795BD4">
        <w:rPr>
          <w:lang w:val="it-IT"/>
        </w:rPr>
        <w:t xml:space="preserve">400 EUR </w:t>
      </w:r>
      <w:r w:rsidR="00795BD4" w:rsidRPr="00795BD4">
        <w:rPr>
          <w:lang w:val="it-IT"/>
        </w:rPr>
        <w:t>a titolo di capitalizzazione del costo dell’assistenza</w:t>
      </w:r>
      <w:r w:rsidRPr="00795BD4">
        <w:rPr>
          <w:lang w:val="it-IT"/>
        </w:rPr>
        <w:t xml:space="preserve"> (artic</w:t>
      </w:r>
      <w:r w:rsidR="00795BD4" w:rsidRPr="00795BD4">
        <w:rPr>
          <w:lang w:val="it-IT"/>
        </w:rPr>
        <w:t>olo</w:t>
      </w:r>
      <w:r w:rsidRPr="00795BD4">
        <w:rPr>
          <w:lang w:val="it-IT"/>
        </w:rPr>
        <w:t xml:space="preserve"> 16</w:t>
      </w:r>
      <w:r w:rsidRPr="00795BD4">
        <w:rPr>
          <w:i/>
          <w:lang w:val="it-IT"/>
        </w:rPr>
        <w:t xml:space="preserve">ter </w:t>
      </w:r>
      <w:r w:rsidR="00795BD4" w:rsidRPr="00795BD4">
        <w:rPr>
          <w:lang w:val="it-IT"/>
        </w:rPr>
        <w:t xml:space="preserve">c. </w:t>
      </w:r>
      <w:r w:rsidRPr="00795BD4">
        <w:rPr>
          <w:lang w:val="it-IT"/>
        </w:rPr>
        <w:t>1 c) de</w:t>
      </w:r>
      <w:r w:rsidR="00795BD4" w:rsidRPr="00795BD4">
        <w:rPr>
          <w:lang w:val="it-IT"/>
        </w:rPr>
        <w:t>l</w:t>
      </w:r>
      <w:r w:rsidRPr="00795BD4">
        <w:rPr>
          <w:lang w:val="it-IT"/>
        </w:rPr>
        <w:t>la l</w:t>
      </w:r>
      <w:r w:rsidR="00795BD4" w:rsidRPr="00795BD4">
        <w:rPr>
          <w:lang w:val="it-IT"/>
        </w:rPr>
        <w:t>egge</w:t>
      </w:r>
      <w:r w:rsidRPr="00795BD4">
        <w:rPr>
          <w:lang w:val="it-IT"/>
        </w:rPr>
        <w:t xml:space="preserve"> n</w:t>
      </w:r>
      <w:r w:rsidR="00795BD4" w:rsidRPr="00795BD4">
        <w:rPr>
          <w:lang w:val="it-IT"/>
        </w:rPr>
        <w:t>.</w:t>
      </w:r>
      <w:r w:rsidRPr="00795BD4">
        <w:rPr>
          <w:lang w:val="it-IT"/>
        </w:rPr>
        <w:t xml:space="preserve"> 82 de</w:t>
      </w:r>
      <w:r w:rsidR="00795BD4">
        <w:rPr>
          <w:lang w:val="it-IT"/>
        </w:rPr>
        <w:t>l</w:t>
      </w:r>
      <w:r w:rsidRPr="00795BD4">
        <w:rPr>
          <w:lang w:val="it-IT"/>
        </w:rPr>
        <w:t xml:space="preserve"> 1991), sp</w:t>
      </w:r>
      <w:r w:rsidR="00795BD4">
        <w:rPr>
          <w:lang w:val="it-IT"/>
        </w:rPr>
        <w:t>ecificando che, ai sensi del decreto ministeriale n. 161 del 23 aprile</w:t>
      </w:r>
      <w:r w:rsidRPr="00795BD4">
        <w:rPr>
          <w:lang w:val="it-IT"/>
        </w:rPr>
        <w:t xml:space="preserve"> 2004, </w:t>
      </w:r>
      <w:r w:rsidR="00795BD4">
        <w:rPr>
          <w:lang w:val="it-IT"/>
        </w:rPr>
        <w:t>tale capitalizzazione doveva essere limitata a un periodo di dieci anni</w:t>
      </w:r>
      <w:r w:rsidRPr="00795BD4">
        <w:rPr>
          <w:lang w:val="it-IT"/>
        </w:rPr>
        <w:t xml:space="preserve">. </w:t>
      </w:r>
      <w:r w:rsidRPr="00DD1945">
        <w:rPr>
          <w:lang w:val="it-IT"/>
        </w:rPr>
        <w:t>La commission</w:t>
      </w:r>
      <w:r w:rsidR="00795BD4" w:rsidRPr="00DD1945">
        <w:rPr>
          <w:lang w:val="it-IT"/>
        </w:rPr>
        <w:t>e</w:t>
      </w:r>
      <w:r w:rsidRPr="00DD1945">
        <w:rPr>
          <w:lang w:val="it-IT"/>
        </w:rPr>
        <w:t xml:space="preserve"> </w:t>
      </w:r>
      <w:r w:rsidRPr="00DD1945">
        <w:rPr>
          <w:i/>
          <w:lang w:val="it-IT"/>
        </w:rPr>
        <w:t xml:space="preserve">ad hoc </w:t>
      </w:r>
      <w:r w:rsidRPr="00DD1945">
        <w:rPr>
          <w:lang w:val="it-IT"/>
        </w:rPr>
        <w:t>fi</w:t>
      </w:r>
      <w:r w:rsidR="00795BD4" w:rsidRPr="00DD1945">
        <w:rPr>
          <w:lang w:val="it-IT"/>
        </w:rPr>
        <w:t>ssò inoltre nella misura di</w:t>
      </w:r>
      <w:r w:rsidRPr="00DD1945">
        <w:rPr>
          <w:lang w:val="it-IT"/>
        </w:rPr>
        <w:t xml:space="preserve"> 90</w:t>
      </w:r>
      <w:r w:rsidR="00795BD4" w:rsidRPr="00DD1945">
        <w:rPr>
          <w:lang w:val="it-IT"/>
        </w:rPr>
        <w:t>.</w:t>
      </w:r>
      <w:r w:rsidRPr="00DD1945">
        <w:rPr>
          <w:lang w:val="it-IT"/>
        </w:rPr>
        <w:t>796 EUR la somm</w:t>
      </w:r>
      <w:r w:rsidR="00795BD4" w:rsidRPr="00DD1945">
        <w:rPr>
          <w:lang w:val="it-IT"/>
        </w:rPr>
        <w:t xml:space="preserve">a dovuta </w:t>
      </w:r>
      <w:r w:rsidR="00BF3E4E">
        <w:rPr>
          <w:lang w:val="it-IT"/>
        </w:rPr>
        <w:t>per il</w:t>
      </w:r>
      <w:r w:rsidR="00DD1945">
        <w:rPr>
          <w:lang w:val="it-IT"/>
        </w:rPr>
        <w:t xml:space="preserve"> </w:t>
      </w:r>
      <w:r w:rsidRPr="00DD1945">
        <w:rPr>
          <w:lang w:val="it-IT"/>
        </w:rPr>
        <w:t xml:space="preserve">danno biologico </w:t>
      </w:r>
      <w:r w:rsidR="00BF3E4E">
        <w:rPr>
          <w:lang w:val="it-IT"/>
        </w:rPr>
        <w:t>a</w:t>
      </w:r>
      <w:r w:rsidR="00DD1945">
        <w:rPr>
          <w:lang w:val="it-IT"/>
        </w:rPr>
        <w:t xml:space="preserve">i ricorrenti e </w:t>
      </w:r>
      <w:r w:rsidR="00BF3E4E">
        <w:rPr>
          <w:lang w:val="it-IT"/>
        </w:rPr>
        <w:t>a</w:t>
      </w:r>
      <w:r w:rsidR="00DD1945">
        <w:rPr>
          <w:lang w:val="it-IT"/>
        </w:rPr>
        <w:t>i loro figli</w:t>
      </w:r>
      <w:r w:rsidR="006E684C">
        <w:rPr>
          <w:lang w:val="it-IT"/>
        </w:rPr>
        <w:t xml:space="preserve">, e applicò </w:t>
      </w:r>
      <w:r w:rsidR="00B5543E">
        <w:rPr>
          <w:lang w:val="it-IT"/>
        </w:rPr>
        <w:t xml:space="preserve">altresì una ritenuta di </w:t>
      </w:r>
      <w:r w:rsidRPr="00B5543E">
        <w:rPr>
          <w:lang w:val="it-IT"/>
        </w:rPr>
        <w:t>10</w:t>
      </w:r>
      <w:r w:rsidR="00B5543E" w:rsidRPr="00B5543E">
        <w:rPr>
          <w:lang w:val="it-IT"/>
        </w:rPr>
        <w:t>.</w:t>
      </w:r>
      <w:r w:rsidRPr="00B5543E">
        <w:rPr>
          <w:lang w:val="it-IT"/>
        </w:rPr>
        <w:t>000</w:t>
      </w:r>
      <w:r w:rsidR="00B5543E" w:rsidRPr="00B5543E">
        <w:rPr>
          <w:lang w:val="it-IT"/>
        </w:rPr>
        <w:t xml:space="preserve"> </w:t>
      </w:r>
      <w:r w:rsidRPr="00B5543E">
        <w:rPr>
          <w:lang w:val="it-IT"/>
        </w:rPr>
        <w:t>EUR p</w:t>
      </w:r>
      <w:r w:rsidR="00B5543E" w:rsidRPr="00B5543E">
        <w:rPr>
          <w:lang w:val="it-IT"/>
        </w:rPr>
        <w:t>er il pagamento di fatture non onorate e per compensare i</w:t>
      </w:r>
      <w:r w:rsidR="00B5543E">
        <w:rPr>
          <w:lang w:val="it-IT"/>
        </w:rPr>
        <w:t xml:space="preserve"> danni che gli interessati avevano provocato all’immobile in cui avevano alloggiato.</w:t>
      </w:r>
    </w:p>
    <w:p w:rsidR="008B3A45" w:rsidRPr="007931F2" w:rsidRDefault="008B3A45" w:rsidP="0099548A">
      <w:pPr>
        <w:pStyle w:val="ECHRPara"/>
        <w:rPr>
          <w:lang w:val="it-IT"/>
        </w:rPr>
      </w:pPr>
      <w:r w:rsidRPr="00375E4B">
        <w:rPr>
          <w:lang w:val="it-IT"/>
        </w:rPr>
        <w:t>10.  </w:t>
      </w:r>
      <w:r w:rsidR="00B5543E" w:rsidRPr="00B5543E">
        <w:rPr>
          <w:lang w:val="it-IT"/>
        </w:rPr>
        <w:t>I ricorrenti impugnarono la decisione de</w:t>
      </w:r>
      <w:r w:rsidR="009303C1">
        <w:rPr>
          <w:lang w:val="it-IT"/>
        </w:rPr>
        <w:t>l</w:t>
      </w:r>
      <w:r w:rsidR="00B5543E" w:rsidRPr="00B5543E">
        <w:rPr>
          <w:lang w:val="it-IT"/>
        </w:rPr>
        <w:t xml:space="preserve">la commissione </w:t>
      </w:r>
      <w:r w:rsidRPr="00B5543E">
        <w:rPr>
          <w:i/>
          <w:lang w:val="it-IT"/>
        </w:rPr>
        <w:t xml:space="preserve">ad hoc </w:t>
      </w:r>
      <w:r w:rsidRPr="00B5543E">
        <w:rPr>
          <w:lang w:val="it-IT"/>
        </w:rPr>
        <w:t>d</w:t>
      </w:r>
      <w:r w:rsidR="00B5543E" w:rsidRPr="00B5543E">
        <w:rPr>
          <w:lang w:val="it-IT"/>
        </w:rPr>
        <w:t xml:space="preserve">inanzi al tribunale amministrativo regionale </w:t>
      </w:r>
      <w:r w:rsidRPr="00B5543E">
        <w:rPr>
          <w:lang w:val="it-IT"/>
        </w:rPr>
        <w:t>(</w:t>
      </w:r>
      <w:r w:rsidR="00B5543E" w:rsidRPr="00B5543E">
        <w:rPr>
          <w:lang w:val="it-IT"/>
        </w:rPr>
        <w:t>di seguito il</w:t>
      </w:r>
      <w:r w:rsidRPr="00B5543E">
        <w:rPr>
          <w:lang w:val="it-IT"/>
        </w:rPr>
        <w:t xml:space="preserve"> «TAR») d</w:t>
      </w:r>
      <w:r w:rsidR="00B5543E" w:rsidRPr="00B5543E">
        <w:rPr>
          <w:lang w:val="it-IT"/>
        </w:rPr>
        <w:t>el Lazio</w:t>
      </w:r>
      <w:r w:rsidRPr="00B5543E">
        <w:rPr>
          <w:lang w:val="it-IT"/>
        </w:rPr>
        <w:t xml:space="preserve">. </w:t>
      </w:r>
      <w:r w:rsidR="00B5543E" w:rsidRPr="00B5543E">
        <w:rPr>
          <w:lang w:val="it-IT"/>
        </w:rPr>
        <w:t>Essi affermavano, inoltre, che la commissione</w:t>
      </w:r>
      <w:r w:rsidRPr="00B5543E">
        <w:rPr>
          <w:lang w:val="it-IT"/>
        </w:rPr>
        <w:t xml:space="preserve"> </w:t>
      </w:r>
      <w:r w:rsidRPr="00B5543E">
        <w:rPr>
          <w:i/>
          <w:lang w:val="it-IT"/>
        </w:rPr>
        <w:t xml:space="preserve">ad hoc </w:t>
      </w:r>
      <w:r w:rsidRPr="00B5543E">
        <w:rPr>
          <w:lang w:val="it-IT"/>
        </w:rPr>
        <w:t>a</w:t>
      </w:r>
      <w:r w:rsidR="00B5543E" w:rsidRPr="00B5543E">
        <w:rPr>
          <w:lang w:val="it-IT"/>
        </w:rPr>
        <w:t>veva adottato la sua decisione in maniera unilaterale, senza dare loro la possibilità di presentare i loro argomenti, che non aveva accordato alcuna somma a titolo di mancato</w:t>
      </w:r>
      <w:r w:rsidR="00B5543E">
        <w:rPr>
          <w:lang w:val="it-IT"/>
        </w:rPr>
        <w:t xml:space="preserve"> guadagno e non aveva</w:t>
      </w:r>
      <w:r w:rsidR="009303C1">
        <w:rPr>
          <w:lang w:val="it-IT"/>
        </w:rPr>
        <w:t xml:space="preserve"> debitamente tenuto conto del loro </w:t>
      </w:r>
      <w:r w:rsidR="00170A5C">
        <w:rPr>
          <w:lang w:val="it-IT"/>
        </w:rPr>
        <w:t>tenore</w:t>
      </w:r>
      <w:r w:rsidR="009303C1">
        <w:rPr>
          <w:lang w:val="it-IT"/>
        </w:rPr>
        <w:t xml:space="preserve"> di vita prima dell’inserimento nel programma di protezione</w:t>
      </w:r>
      <w:r w:rsidRPr="00B5543E">
        <w:rPr>
          <w:lang w:val="it-IT"/>
        </w:rPr>
        <w:t xml:space="preserve">. </w:t>
      </w:r>
      <w:r w:rsidRPr="007931F2">
        <w:rPr>
          <w:lang w:val="it-IT"/>
        </w:rPr>
        <w:t>Se</w:t>
      </w:r>
      <w:r w:rsidR="007931F2" w:rsidRPr="007931F2">
        <w:rPr>
          <w:lang w:val="it-IT"/>
        </w:rPr>
        <w:t xml:space="preserve">condo i ricorrenti, la decisione in contestazione si traduceva in una evidente ingiustizia, dato che la loro famiglia aveva poche possibilità di reinserimento sociale e non poteva recuperare il </w:t>
      </w:r>
      <w:r w:rsidR="00170A5C">
        <w:rPr>
          <w:lang w:val="it-IT"/>
        </w:rPr>
        <w:t>tenore</w:t>
      </w:r>
      <w:r w:rsidR="007931F2" w:rsidRPr="007931F2">
        <w:rPr>
          <w:lang w:val="it-IT"/>
        </w:rPr>
        <w:t xml:space="preserve"> di vita </w:t>
      </w:r>
      <w:r w:rsidR="00633C28">
        <w:rPr>
          <w:lang w:val="it-IT"/>
        </w:rPr>
        <w:t>che aveva prima dell’</w:t>
      </w:r>
      <w:r w:rsidR="007931F2" w:rsidRPr="007931F2">
        <w:rPr>
          <w:lang w:val="it-IT"/>
        </w:rPr>
        <w:t xml:space="preserve">applicazione della legge n. </w:t>
      </w:r>
      <w:r w:rsidRPr="007931F2">
        <w:rPr>
          <w:lang w:val="it-IT"/>
        </w:rPr>
        <w:t>82 de</w:t>
      </w:r>
      <w:r w:rsidR="007931F2">
        <w:rPr>
          <w:lang w:val="it-IT"/>
        </w:rPr>
        <w:t>l</w:t>
      </w:r>
      <w:r w:rsidRPr="007931F2">
        <w:rPr>
          <w:lang w:val="it-IT"/>
        </w:rPr>
        <w:t xml:space="preserve"> 1991.</w:t>
      </w:r>
    </w:p>
    <w:p w:rsidR="008B3A45" w:rsidRPr="007931F2" w:rsidRDefault="008B3A45" w:rsidP="0099548A">
      <w:pPr>
        <w:pStyle w:val="ECHRPara"/>
        <w:rPr>
          <w:lang w:val="it-IT"/>
        </w:rPr>
      </w:pPr>
      <w:r w:rsidRPr="00375E4B">
        <w:rPr>
          <w:lang w:val="it-IT"/>
        </w:rPr>
        <w:t>11.  </w:t>
      </w:r>
      <w:r w:rsidR="007931F2" w:rsidRPr="007931F2">
        <w:rPr>
          <w:lang w:val="it-IT"/>
        </w:rPr>
        <w:t xml:space="preserve">Con una sentenza resa il </w:t>
      </w:r>
      <w:r w:rsidRPr="007931F2">
        <w:rPr>
          <w:lang w:val="it-IT"/>
        </w:rPr>
        <w:t>10 novembre 2011, d</w:t>
      </w:r>
      <w:r w:rsidR="007931F2" w:rsidRPr="007931F2">
        <w:rPr>
          <w:lang w:val="it-IT"/>
        </w:rPr>
        <w:t xml:space="preserve">epositata il </w:t>
      </w:r>
      <w:r w:rsidRPr="007931F2">
        <w:rPr>
          <w:lang w:val="it-IT"/>
        </w:rPr>
        <w:t>5 mar</w:t>
      </w:r>
      <w:r w:rsidR="007931F2" w:rsidRPr="007931F2">
        <w:rPr>
          <w:lang w:val="it-IT"/>
        </w:rPr>
        <w:t>zo</w:t>
      </w:r>
      <w:r w:rsidRPr="007931F2">
        <w:rPr>
          <w:lang w:val="it-IT"/>
        </w:rPr>
        <w:t xml:space="preserve"> 2012, </w:t>
      </w:r>
      <w:r w:rsidR="007931F2" w:rsidRPr="007931F2">
        <w:rPr>
          <w:lang w:val="it-IT"/>
        </w:rPr>
        <w:t xml:space="preserve">il </w:t>
      </w:r>
      <w:r w:rsidRPr="007931F2">
        <w:rPr>
          <w:lang w:val="it-IT"/>
        </w:rPr>
        <w:t>TAR d</w:t>
      </w:r>
      <w:r w:rsidR="007931F2" w:rsidRPr="007931F2">
        <w:rPr>
          <w:lang w:val="it-IT"/>
        </w:rPr>
        <w:t>el Lazio rigettò il ricorso dei ricorrenti</w:t>
      </w:r>
      <w:r w:rsidRPr="007931F2">
        <w:rPr>
          <w:lang w:val="it-IT"/>
        </w:rPr>
        <w:t>.</w:t>
      </w:r>
    </w:p>
    <w:p w:rsidR="008B3A45" w:rsidRPr="007931F2" w:rsidRDefault="008B3A45" w:rsidP="0099548A">
      <w:pPr>
        <w:pStyle w:val="ECHRPara"/>
        <w:rPr>
          <w:lang w:val="it-IT"/>
        </w:rPr>
      </w:pPr>
      <w:bookmarkStart w:id="2" w:name="audizionicommissioneadhoc"/>
      <w:r w:rsidRPr="00375E4B">
        <w:rPr>
          <w:lang w:val="it-IT"/>
        </w:rPr>
        <w:t>12</w:t>
      </w:r>
      <w:bookmarkEnd w:id="2"/>
      <w:r w:rsidRPr="00375E4B">
        <w:rPr>
          <w:lang w:val="it-IT"/>
        </w:rPr>
        <w:t>.  </w:t>
      </w:r>
      <w:r w:rsidR="007931F2" w:rsidRPr="007931F2">
        <w:rPr>
          <w:lang w:val="it-IT"/>
        </w:rPr>
        <w:t xml:space="preserve">Il </w:t>
      </w:r>
      <w:r w:rsidRPr="007931F2">
        <w:rPr>
          <w:lang w:val="it-IT"/>
        </w:rPr>
        <w:t>TAR o</w:t>
      </w:r>
      <w:r w:rsidR="007931F2" w:rsidRPr="007931F2">
        <w:rPr>
          <w:lang w:val="it-IT"/>
        </w:rPr>
        <w:t xml:space="preserve">sservò anzitutto che la commissione </w:t>
      </w:r>
      <w:r w:rsidRPr="007931F2">
        <w:rPr>
          <w:i/>
          <w:lang w:val="it-IT"/>
        </w:rPr>
        <w:t xml:space="preserve">ad hoc </w:t>
      </w:r>
      <w:r w:rsidRPr="007931F2">
        <w:rPr>
          <w:lang w:val="it-IT"/>
        </w:rPr>
        <w:t>av</w:t>
      </w:r>
      <w:r w:rsidR="007931F2" w:rsidRPr="007931F2">
        <w:rPr>
          <w:lang w:val="it-IT"/>
        </w:rPr>
        <w:t xml:space="preserve">eva sentito due volte i ricorrenti, che avevano così avuto l’occasione di esporre il loro progetto di avviare una nuova attività commerciale nel settore della ristorazione. Dai verbali di tali audizioni risultava che il Presidente della commissione </w:t>
      </w:r>
      <w:r w:rsidRPr="007931F2">
        <w:rPr>
          <w:i/>
          <w:lang w:val="it-IT"/>
        </w:rPr>
        <w:t xml:space="preserve">ad hoc </w:t>
      </w:r>
      <w:r w:rsidRPr="007931F2">
        <w:rPr>
          <w:lang w:val="it-IT"/>
        </w:rPr>
        <w:t>av</w:t>
      </w:r>
      <w:r w:rsidR="007931F2" w:rsidRPr="007931F2">
        <w:rPr>
          <w:lang w:val="it-IT"/>
        </w:rPr>
        <w:t>eva precis</w:t>
      </w:r>
      <w:r w:rsidRPr="007931F2">
        <w:rPr>
          <w:lang w:val="it-IT"/>
        </w:rPr>
        <w:t>a</w:t>
      </w:r>
      <w:r w:rsidR="007931F2" w:rsidRPr="007931F2">
        <w:rPr>
          <w:lang w:val="it-IT"/>
        </w:rPr>
        <w:t>to che le richieste formulate dai ricorrenti</w:t>
      </w:r>
      <w:r w:rsidRPr="007931F2">
        <w:rPr>
          <w:lang w:val="it-IT"/>
        </w:rPr>
        <w:t xml:space="preserve"> (695</w:t>
      </w:r>
      <w:r w:rsidR="007931F2" w:rsidRPr="007931F2">
        <w:rPr>
          <w:lang w:val="it-IT"/>
        </w:rPr>
        <w:t>.</w:t>
      </w:r>
      <w:r w:rsidRPr="007931F2">
        <w:rPr>
          <w:lang w:val="it-IT"/>
        </w:rPr>
        <w:t>000 EUR p</w:t>
      </w:r>
      <w:r w:rsidR="007931F2" w:rsidRPr="007931F2">
        <w:rPr>
          <w:lang w:val="it-IT"/>
        </w:rPr>
        <w:t>er l’acquisizione di locali destinati al restau</w:t>
      </w:r>
      <w:r w:rsidR="007931F2">
        <w:rPr>
          <w:lang w:val="it-IT"/>
        </w:rPr>
        <w:t>r</w:t>
      </w:r>
      <w:r w:rsidR="007931F2" w:rsidRPr="007931F2">
        <w:rPr>
          <w:lang w:val="it-IT"/>
        </w:rPr>
        <w:t xml:space="preserve">o, </w:t>
      </w:r>
      <w:r w:rsidRPr="007931F2">
        <w:rPr>
          <w:lang w:val="it-IT"/>
        </w:rPr>
        <w:t>525</w:t>
      </w:r>
      <w:r w:rsidR="007931F2" w:rsidRPr="007931F2">
        <w:rPr>
          <w:lang w:val="it-IT"/>
        </w:rPr>
        <w:t>.</w:t>
      </w:r>
      <w:r w:rsidRPr="007931F2">
        <w:rPr>
          <w:lang w:val="it-IT"/>
        </w:rPr>
        <w:t>416,53 EUR p</w:t>
      </w:r>
      <w:r w:rsidR="007931F2" w:rsidRPr="007931F2">
        <w:rPr>
          <w:lang w:val="it-IT"/>
        </w:rPr>
        <w:t>er l’acquis</w:t>
      </w:r>
      <w:r w:rsidR="007931F2">
        <w:rPr>
          <w:lang w:val="it-IT"/>
        </w:rPr>
        <w:t>to</w:t>
      </w:r>
      <w:r w:rsidR="007931F2" w:rsidRPr="007931F2">
        <w:rPr>
          <w:lang w:val="it-IT"/>
        </w:rPr>
        <w:t xml:space="preserve"> di un appartamento </w:t>
      </w:r>
      <w:r w:rsidR="007931F2">
        <w:rPr>
          <w:lang w:val="it-IT"/>
        </w:rPr>
        <w:t>e</w:t>
      </w:r>
      <w:r w:rsidRPr="007931F2">
        <w:rPr>
          <w:lang w:val="it-IT"/>
        </w:rPr>
        <w:t xml:space="preserve"> 487</w:t>
      </w:r>
      <w:r w:rsidR="007931F2">
        <w:rPr>
          <w:lang w:val="it-IT"/>
        </w:rPr>
        <w:t>.</w:t>
      </w:r>
      <w:r w:rsidRPr="007931F2">
        <w:rPr>
          <w:lang w:val="it-IT"/>
        </w:rPr>
        <w:t>484 EUR p</w:t>
      </w:r>
      <w:r w:rsidR="007931F2" w:rsidRPr="007931F2">
        <w:rPr>
          <w:lang w:val="it-IT"/>
        </w:rPr>
        <w:t>er l’acquisto di una rivendita di tabacchi</w:t>
      </w:r>
      <w:r w:rsidR="007931F2">
        <w:rPr>
          <w:lang w:val="it-IT"/>
        </w:rPr>
        <w:t xml:space="preserve"> </w:t>
      </w:r>
      <w:r w:rsidR="007931F2" w:rsidRPr="007931F2">
        <w:rPr>
          <w:lang w:val="it-IT"/>
        </w:rPr>
        <w:t>e giornali</w:t>
      </w:r>
      <w:r w:rsidRPr="007931F2">
        <w:rPr>
          <w:lang w:val="it-IT"/>
        </w:rPr>
        <w:t xml:space="preserve">) </w:t>
      </w:r>
      <w:r w:rsidR="007931F2">
        <w:rPr>
          <w:lang w:val="it-IT"/>
        </w:rPr>
        <w:t xml:space="preserve">erano ben superiori agli importi che la commissione </w:t>
      </w:r>
      <w:r w:rsidR="001570CA">
        <w:rPr>
          <w:lang w:val="it-IT"/>
        </w:rPr>
        <w:t>p</w:t>
      </w:r>
      <w:r w:rsidR="007931F2">
        <w:rPr>
          <w:lang w:val="it-IT"/>
        </w:rPr>
        <w:t xml:space="preserve">oteva accordare </w:t>
      </w:r>
      <w:r w:rsidR="001570CA">
        <w:rPr>
          <w:lang w:val="it-IT"/>
        </w:rPr>
        <w:t>e che erano stati versati in casi analoghi</w:t>
      </w:r>
      <w:r w:rsidRPr="007931F2">
        <w:rPr>
          <w:lang w:val="it-IT"/>
        </w:rPr>
        <w:t>.</w:t>
      </w:r>
    </w:p>
    <w:p w:rsidR="008B3A45" w:rsidRPr="005136FE" w:rsidRDefault="008B3A45" w:rsidP="0099548A">
      <w:pPr>
        <w:pStyle w:val="ECHRPara"/>
        <w:rPr>
          <w:lang w:val="it-IT"/>
        </w:rPr>
      </w:pPr>
      <w:bookmarkStart w:id="3" w:name="pizzeria"/>
      <w:r w:rsidRPr="00375E4B">
        <w:rPr>
          <w:lang w:val="it-IT"/>
        </w:rPr>
        <w:t>13</w:t>
      </w:r>
      <w:bookmarkEnd w:id="3"/>
      <w:r w:rsidRPr="00375E4B">
        <w:rPr>
          <w:lang w:val="it-IT"/>
        </w:rPr>
        <w:t>.  </w:t>
      </w:r>
      <w:r w:rsidRPr="001570CA">
        <w:rPr>
          <w:lang w:val="it-IT"/>
        </w:rPr>
        <w:t>P</w:t>
      </w:r>
      <w:r w:rsidR="001570CA" w:rsidRPr="001570CA">
        <w:rPr>
          <w:lang w:val="it-IT"/>
        </w:rPr>
        <w:t>er quanto riguarda il mancato guadagno, il</w:t>
      </w:r>
      <w:r w:rsidRPr="001570CA">
        <w:rPr>
          <w:lang w:val="it-IT"/>
        </w:rPr>
        <w:t xml:space="preserve"> TAR </w:t>
      </w:r>
      <w:r w:rsidR="001570CA" w:rsidRPr="001570CA">
        <w:rPr>
          <w:lang w:val="it-IT"/>
        </w:rPr>
        <w:t>osservò che la commis</w:t>
      </w:r>
      <w:r w:rsidR="001570CA">
        <w:rPr>
          <w:lang w:val="it-IT"/>
        </w:rPr>
        <w:t>si</w:t>
      </w:r>
      <w:r w:rsidR="001570CA" w:rsidRPr="001570CA">
        <w:rPr>
          <w:lang w:val="it-IT"/>
        </w:rPr>
        <w:t xml:space="preserve">one </w:t>
      </w:r>
      <w:r w:rsidRPr="001570CA">
        <w:rPr>
          <w:i/>
          <w:lang w:val="it-IT"/>
        </w:rPr>
        <w:t xml:space="preserve">ad hoc </w:t>
      </w:r>
      <w:r w:rsidRPr="001570CA">
        <w:rPr>
          <w:lang w:val="it-IT"/>
        </w:rPr>
        <w:t>s</w:t>
      </w:r>
      <w:r w:rsidR="001570CA" w:rsidRPr="001570CA">
        <w:rPr>
          <w:lang w:val="it-IT"/>
        </w:rPr>
        <w:t>i era basata su</w:t>
      </w:r>
      <w:r w:rsidR="001570CA">
        <w:rPr>
          <w:lang w:val="it-IT"/>
        </w:rPr>
        <w:t>lle</w:t>
      </w:r>
      <w:r w:rsidR="001570CA" w:rsidRPr="001570CA">
        <w:rPr>
          <w:lang w:val="it-IT"/>
        </w:rPr>
        <w:t xml:space="preserve"> verifiche </w:t>
      </w:r>
      <w:r w:rsidR="001570CA">
        <w:rPr>
          <w:lang w:val="it-IT"/>
        </w:rPr>
        <w:t>compiute dal servizio centrale di protezione. Peraltro, i ricorrenti avevano dichiarato di non disporre dei documenti fiscali e contabili relativi alle loro attività commerciali anteriori al loro inserimento nel programma di protezione e di non ricordare l’importo dei profitti generati dalla pizzeria, nella quale avevano lavorato solo per cinque mesi</w:t>
      </w:r>
      <w:r w:rsidRPr="001570CA">
        <w:rPr>
          <w:lang w:val="it-IT"/>
        </w:rPr>
        <w:t xml:space="preserve">. </w:t>
      </w:r>
      <w:r w:rsidR="001570CA" w:rsidRPr="001570CA">
        <w:rPr>
          <w:lang w:val="it-IT"/>
        </w:rPr>
        <w:t>In queste circostanze, il</w:t>
      </w:r>
      <w:r w:rsidRPr="001570CA">
        <w:rPr>
          <w:lang w:val="it-IT"/>
        </w:rPr>
        <w:t xml:space="preserve"> TAR </w:t>
      </w:r>
      <w:r w:rsidR="001570CA" w:rsidRPr="001570CA">
        <w:rPr>
          <w:lang w:val="it-IT"/>
        </w:rPr>
        <w:t>considerò che i ricorrenti avessero omesso di fornire alla commissione</w:t>
      </w:r>
      <w:r w:rsidRPr="001570CA">
        <w:rPr>
          <w:lang w:val="it-IT"/>
        </w:rPr>
        <w:t xml:space="preserve"> </w:t>
      </w:r>
      <w:r w:rsidRPr="001570CA">
        <w:rPr>
          <w:i/>
          <w:lang w:val="it-IT"/>
        </w:rPr>
        <w:t xml:space="preserve">ad </w:t>
      </w:r>
      <w:r w:rsidRPr="001570CA">
        <w:rPr>
          <w:i/>
          <w:lang w:val="it-IT"/>
        </w:rPr>
        <w:lastRenderedPageBreak/>
        <w:t>hoc</w:t>
      </w:r>
      <w:r w:rsidRPr="001570CA">
        <w:rPr>
          <w:lang w:val="it-IT"/>
        </w:rPr>
        <w:t xml:space="preserve"> </w:t>
      </w:r>
      <w:r w:rsidR="001570CA" w:rsidRPr="001570CA">
        <w:rPr>
          <w:lang w:val="it-IT"/>
        </w:rPr>
        <w:t>gli elementi necessari per stabilire l’esistenza di un mancat</w:t>
      </w:r>
      <w:r w:rsidR="001570CA">
        <w:rPr>
          <w:lang w:val="it-IT"/>
        </w:rPr>
        <w:t>o guadagno</w:t>
      </w:r>
      <w:r w:rsidRPr="001570CA">
        <w:rPr>
          <w:lang w:val="it-IT"/>
        </w:rPr>
        <w:t xml:space="preserve">. </w:t>
      </w:r>
      <w:r w:rsidR="001570CA" w:rsidRPr="005136FE">
        <w:rPr>
          <w:lang w:val="it-IT"/>
        </w:rPr>
        <w:t xml:space="preserve">Inoltre, dalle informazioni fornite dai servizi fiscali competenti </w:t>
      </w:r>
      <w:r w:rsidR="005136FE" w:rsidRPr="005136FE">
        <w:rPr>
          <w:lang w:val="it-IT"/>
        </w:rPr>
        <w:t xml:space="preserve">e dal contesto socio-economico di riferimento </w:t>
      </w:r>
      <w:r w:rsidR="001570CA" w:rsidRPr="005136FE">
        <w:rPr>
          <w:lang w:val="it-IT"/>
        </w:rPr>
        <w:t xml:space="preserve">risultava che </w:t>
      </w:r>
      <w:r w:rsidR="005136FE" w:rsidRPr="005136FE">
        <w:rPr>
          <w:lang w:val="it-IT"/>
        </w:rPr>
        <w:t>le condizioni per accordare una somma a titolo di mancato guadagno non erano soddisfatt</w:t>
      </w:r>
      <w:r w:rsidR="002D6C38">
        <w:rPr>
          <w:lang w:val="it-IT"/>
        </w:rPr>
        <w:t>e</w:t>
      </w:r>
      <w:r w:rsidRPr="005136FE">
        <w:rPr>
          <w:lang w:val="it-IT"/>
        </w:rPr>
        <w:t>.</w:t>
      </w:r>
    </w:p>
    <w:p w:rsidR="008B3A45" w:rsidRPr="00132AD7" w:rsidRDefault="008B3A45" w:rsidP="0099548A">
      <w:pPr>
        <w:pStyle w:val="ECHRPara"/>
        <w:rPr>
          <w:lang w:val="it-IT"/>
        </w:rPr>
      </w:pPr>
      <w:bookmarkStart w:id="4" w:name="bar"/>
      <w:r w:rsidRPr="00375E4B">
        <w:rPr>
          <w:lang w:val="it-IT"/>
        </w:rPr>
        <w:t>14</w:t>
      </w:r>
      <w:bookmarkEnd w:id="4"/>
      <w:r w:rsidRPr="00375E4B">
        <w:rPr>
          <w:lang w:val="it-IT"/>
        </w:rPr>
        <w:t>.  </w:t>
      </w:r>
      <w:r w:rsidR="005136FE" w:rsidRPr="005136FE">
        <w:rPr>
          <w:lang w:val="it-IT"/>
        </w:rPr>
        <w:t>Il</w:t>
      </w:r>
      <w:r w:rsidRPr="005136FE">
        <w:rPr>
          <w:lang w:val="it-IT"/>
        </w:rPr>
        <w:t xml:space="preserve"> TAR o</w:t>
      </w:r>
      <w:r w:rsidR="005136FE" w:rsidRPr="005136FE">
        <w:rPr>
          <w:lang w:val="it-IT"/>
        </w:rPr>
        <w:t xml:space="preserve">sservò in particolare che, dal </w:t>
      </w:r>
      <w:r w:rsidRPr="005136FE">
        <w:rPr>
          <w:lang w:val="it-IT"/>
        </w:rPr>
        <w:t xml:space="preserve">1989 </w:t>
      </w:r>
      <w:r w:rsidR="005136FE" w:rsidRPr="005136FE">
        <w:rPr>
          <w:lang w:val="it-IT"/>
        </w:rPr>
        <w:t>al</w:t>
      </w:r>
      <w:r w:rsidRPr="005136FE">
        <w:rPr>
          <w:lang w:val="it-IT"/>
        </w:rPr>
        <w:t xml:space="preserve"> 1998, </w:t>
      </w:r>
      <w:r w:rsidR="005136FE" w:rsidRPr="005136FE">
        <w:rPr>
          <w:lang w:val="it-IT"/>
        </w:rPr>
        <w:t>il ricorrente aveva lavorato in maniera intermittente in qualità di operaio nei cantieri comunali e di dipendente in una stazione di servizio</w:t>
      </w:r>
      <w:r w:rsidRPr="005136FE">
        <w:rPr>
          <w:lang w:val="it-IT"/>
        </w:rPr>
        <w:t xml:space="preserve">. </w:t>
      </w:r>
      <w:r w:rsidR="005136FE" w:rsidRPr="00132AD7">
        <w:rPr>
          <w:lang w:val="it-IT"/>
        </w:rPr>
        <w:t>Per quanto riguarda</w:t>
      </w:r>
      <w:r w:rsidR="00132AD7" w:rsidRPr="00132AD7">
        <w:rPr>
          <w:lang w:val="it-IT"/>
        </w:rPr>
        <w:t>va</w:t>
      </w:r>
      <w:r w:rsidR="005136FE" w:rsidRPr="00132AD7">
        <w:rPr>
          <w:lang w:val="it-IT"/>
        </w:rPr>
        <w:t xml:space="preserve"> il </w:t>
      </w:r>
      <w:r w:rsidR="00132AD7" w:rsidRPr="00132AD7">
        <w:rPr>
          <w:lang w:val="it-IT"/>
        </w:rPr>
        <w:t>bar, la ricorrente aveva dichiarato dei redditi relativamente modesti</w:t>
      </w:r>
      <w:r w:rsidRPr="00132AD7">
        <w:rPr>
          <w:lang w:val="it-IT"/>
        </w:rPr>
        <w:t xml:space="preserve"> (10</w:t>
      </w:r>
      <w:r w:rsidR="00132AD7" w:rsidRPr="00132AD7">
        <w:rPr>
          <w:lang w:val="it-IT"/>
        </w:rPr>
        <w:t>.</w:t>
      </w:r>
      <w:r w:rsidRPr="00132AD7">
        <w:rPr>
          <w:lang w:val="it-IT"/>
        </w:rPr>
        <w:t>080</w:t>
      </w:r>
      <w:r w:rsidR="00132AD7" w:rsidRPr="00132AD7">
        <w:rPr>
          <w:lang w:val="it-IT"/>
        </w:rPr>
        <w:t>.</w:t>
      </w:r>
      <w:r w:rsidRPr="00132AD7">
        <w:rPr>
          <w:lang w:val="it-IT"/>
        </w:rPr>
        <w:t xml:space="preserve">000 ITL – </w:t>
      </w:r>
      <w:r w:rsidR="00132AD7">
        <w:rPr>
          <w:lang w:val="it-IT"/>
        </w:rPr>
        <w:t xml:space="preserve">circa </w:t>
      </w:r>
      <w:r w:rsidRPr="00132AD7">
        <w:rPr>
          <w:lang w:val="it-IT"/>
        </w:rPr>
        <w:t>5</w:t>
      </w:r>
      <w:r w:rsidR="00132AD7" w:rsidRPr="00132AD7">
        <w:rPr>
          <w:lang w:val="it-IT"/>
        </w:rPr>
        <w:t>.</w:t>
      </w:r>
      <w:r w:rsidRPr="00132AD7">
        <w:rPr>
          <w:lang w:val="it-IT"/>
        </w:rPr>
        <w:t>577 EUR – p</w:t>
      </w:r>
      <w:r w:rsidR="00132AD7" w:rsidRPr="00132AD7">
        <w:rPr>
          <w:lang w:val="it-IT"/>
        </w:rPr>
        <w:t>er il 1993</w:t>
      </w:r>
      <w:r w:rsidRPr="00132AD7">
        <w:rPr>
          <w:lang w:val="it-IT"/>
        </w:rPr>
        <w:t>; 15</w:t>
      </w:r>
      <w:r w:rsidR="00132AD7">
        <w:rPr>
          <w:lang w:val="it-IT"/>
        </w:rPr>
        <w:t>.</w:t>
      </w:r>
      <w:r w:rsidRPr="00132AD7">
        <w:rPr>
          <w:lang w:val="it-IT"/>
        </w:rPr>
        <w:t>256</w:t>
      </w:r>
      <w:r w:rsidR="00132AD7">
        <w:rPr>
          <w:lang w:val="it-IT"/>
        </w:rPr>
        <w:t>.</w:t>
      </w:r>
      <w:r w:rsidRPr="00132AD7">
        <w:rPr>
          <w:lang w:val="it-IT"/>
        </w:rPr>
        <w:t>000</w:t>
      </w:r>
      <w:r w:rsidR="00132AD7">
        <w:rPr>
          <w:lang w:val="it-IT"/>
        </w:rPr>
        <w:t xml:space="preserve"> </w:t>
      </w:r>
      <w:r w:rsidRPr="00132AD7">
        <w:rPr>
          <w:lang w:val="it-IT"/>
        </w:rPr>
        <w:t xml:space="preserve">ITL – </w:t>
      </w:r>
      <w:r w:rsidR="00132AD7">
        <w:rPr>
          <w:lang w:val="it-IT"/>
        </w:rPr>
        <w:t>circa</w:t>
      </w:r>
      <w:r w:rsidRPr="00132AD7">
        <w:rPr>
          <w:lang w:val="it-IT"/>
        </w:rPr>
        <w:t xml:space="preserve"> 7 879 EUR – p</w:t>
      </w:r>
      <w:r w:rsidR="00132AD7">
        <w:rPr>
          <w:lang w:val="it-IT"/>
        </w:rPr>
        <w:t>er il</w:t>
      </w:r>
      <w:r w:rsidRPr="00132AD7">
        <w:rPr>
          <w:lang w:val="it-IT"/>
        </w:rPr>
        <w:t xml:space="preserve"> 1994; e 25</w:t>
      </w:r>
      <w:r w:rsidR="00132AD7">
        <w:rPr>
          <w:lang w:val="it-IT"/>
        </w:rPr>
        <w:t>.</w:t>
      </w:r>
      <w:r w:rsidRPr="00132AD7">
        <w:rPr>
          <w:lang w:val="it-IT"/>
        </w:rPr>
        <w:t>713</w:t>
      </w:r>
      <w:r w:rsidR="00132AD7">
        <w:rPr>
          <w:lang w:val="it-IT"/>
        </w:rPr>
        <w:t>.</w:t>
      </w:r>
      <w:r w:rsidRPr="00132AD7">
        <w:rPr>
          <w:lang w:val="it-IT"/>
        </w:rPr>
        <w:t xml:space="preserve">000 ITL – </w:t>
      </w:r>
      <w:r w:rsidR="00132AD7">
        <w:rPr>
          <w:lang w:val="it-IT"/>
        </w:rPr>
        <w:t>circa</w:t>
      </w:r>
      <w:r w:rsidRPr="00132AD7">
        <w:rPr>
          <w:lang w:val="it-IT"/>
        </w:rPr>
        <w:t xml:space="preserve"> 13</w:t>
      </w:r>
      <w:r w:rsidR="00132AD7">
        <w:rPr>
          <w:lang w:val="it-IT"/>
        </w:rPr>
        <w:t>.</w:t>
      </w:r>
      <w:r w:rsidRPr="00132AD7">
        <w:rPr>
          <w:lang w:val="it-IT"/>
        </w:rPr>
        <w:t>279</w:t>
      </w:r>
      <w:r w:rsidR="00132AD7">
        <w:rPr>
          <w:lang w:val="it-IT"/>
        </w:rPr>
        <w:t xml:space="preserve"> </w:t>
      </w:r>
      <w:r w:rsidRPr="00132AD7">
        <w:rPr>
          <w:lang w:val="it-IT"/>
        </w:rPr>
        <w:t>EUR – p</w:t>
      </w:r>
      <w:r w:rsidR="00132AD7">
        <w:rPr>
          <w:lang w:val="it-IT"/>
        </w:rPr>
        <w:t>er il</w:t>
      </w:r>
      <w:r w:rsidRPr="00132AD7">
        <w:rPr>
          <w:lang w:val="it-IT"/>
        </w:rPr>
        <w:t xml:space="preserve"> 1995). </w:t>
      </w:r>
      <w:r w:rsidR="00132AD7">
        <w:rPr>
          <w:lang w:val="it-IT"/>
        </w:rPr>
        <w:t>Inoltre, con una nota del 21 giugno</w:t>
      </w:r>
      <w:r w:rsidRPr="00132AD7">
        <w:rPr>
          <w:lang w:val="it-IT"/>
        </w:rPr>
        <w:t xml:space="preserve"> 2010, la Pr</w:t>
      </w:r>
      <w:r w:rsidR="00132AD7" w:rsidRPr="00132AD7">
        <w:rPr>
          <w:lang w:val="it-IT"/>
        </w:rPr>
        <w:t>efettura di Agrigento aveva escluso che l’inserimento nel programma di protezion</w:t>
      </w:r>
      <w:r w:rsidR="00132AD7">
        <w:rPr>
          <w:lang w:val="it-IT"/>
        </w:rPr>
        <w:t xml:space="preserve">e avesse ripercussioni </w:t>
      </w:r>
      <w:r w:rsidR="00EC0566">
        <w:rPr>
          <w:lang w:val="it-IT"/>
        </w:rPr>
        <w:t>negative sulla redditività dell’</w:t>
      </w:r>
      <w:r w:rsidR="008806FF">
        <w:rPr>
          <w:lang w:val="it-IT"/>
        </w:rPr>
        <w:t>attività</w:t>
      </w:r>
      <w:r w:rsidRPr="00132AD7">
        <w:rPr>
          <w:lang w:val="it-IT"/>
        </w:rPr>
        <w:t>.</w:t>
      </w:r>
    </w:p>
    <w:p w:rsidR="008B3A45" w:rsidRPr="00EC0566" w:rsidRDefault="008B3A45" w:rsidP="0099548A">
      <w:pPr>
        <w:pStyle w:val="ECHRPara"/>
        <w:rPr>
          <w:lang w:val="it-IT"/>
        </w:rPr>
      </w:pPr>
      <w:r w:rsidRPr="00375E4B">
        <w:rPr>
          <w:lang w:val="it-IT"/>
        </w:rPr>
        <w:t>15.  </w:t>
      </w:r>
      <w:r w:rsidR="00EC0566" w:rsidRPr="00EC0566">
        <w:rPr>
          <w:lang w:val="it-IT"/>
        </w:rPr>
        <w:t xml:space="preserve">Nella misura in cui i ricorrenti lamentano il fatto che la commissione </w:t>
      </w:r>
      <w:r w:rsidRPr="00EC0566">
        <w:rPr>
          <w:i/>
          <w:lang w:val="it-IT"/>
        </w:rPr>
        <w:t>ad hoc</w:t>
      </w:r>
      <w:r w:rsidRPr="00EC0566">
        <w:rPr>
          <w:lang w:val="it-IT"/>
        </w:rPr>
        <w:t xml:space="preserve"> av</w:t>
      </w:r>
      <w:r w:rsidR="00EC0566" w:rsidRPr="00EC0566">
        <w:rPr>
          <w:lang w:val="it-IT"/>
        </w:rPr>
        <w:t xml:space="preserve">esse accordato somme per il danno morale ben inferiori a quelle che risultavano dai rapporti dei periti di fiducia, il TAR osservò che la commissione si era basata su percentuali di danno del </w:t>
      </w:r>
      <w:r w:rsidRPr="00EC0566">
        <w:rPr>
          <w:lang w:val="it-IT"/>
        </w:rPr>
        <w:t>20% p</w:t>
      </w:r>
      <w:r w:rsidR="00EC0566" w:rsidRPr="00EC0566">
        <w:rPr>
          <w:lang w:val="it-IT"/>
        </w:rPr>
        <w:t>er i ricorrenti e</w:t>
      </w:r>
      <w:r w:rsidR="00EC0566">
        <w:rPr>
          <w:lang w:val="it-IT"/>
        </w:rPr>
        <w:t xml:space="preserve"> </w:t>
      </w:r>
      <w:r w:rsidR="00EC0566" w:rsidRPr="00EC0566">
        <w:rPr>
          <w:lang w:val="it-IT"/>
        </w:rPr>
        <w:t xml:space="preserve">del </w:t>
      </w:r>
      <w:r w:rsidRPr="00EC0566">
        <w:rPr>
          <w:lang w:val="it-IT"/>
        </w:rPr>
        <w:t>5% e 15% r</w:t>
      </w:r>
      <w:r w:rsidR="00EC0566">
        <w:rPr>
          <w:lang w:val="it-IT"/>
        </w:rPr>
        <w:t>ispettivamente per i loro figli</w:t>
      </w:r>
      <w:r w:rsidRPr="00EC0566">
        <w:rPr>
          <w:lang w:val="it-IT"/>
        </w:rPr>
        <w:t xml:space="preserve">. </w:t>
      </w:r>
      <w:r w:rsidR="00EC0566" w:rsidRPr="00EC0566">
        <w:rPr>
          <w:lang w:val="it-IT"/>
        </w:rPr>
        <w:t>Tali percentuali erano state determinate da una perizia medico-legale realizzata dall’Istituto Nazionale per la Sicurezza Sociale</w:t>
      </w:r>
      <w:r w:rsidRPr="00EC0566">
        <w:rPr>
          <w:lang w:val="it-IT"/>
        </w:rPr>
        <w:t xml:space="preserve"> («INPS») su</w:t>
      </w:r>
      <w:r w:rsidR="00EC0566" w:rsidRPr="00EC0566">
        <w:rPr>
          <w:lang w:val="it-IT"/>
        </w:rPr>
        <w:t>lla base delle tabelle predisposte dal tribunale di Roma</w:t>
      </w:r>
      <w:r w:rsidRPr="00EC0566">
        <w:rPr>
          <w:lang w:val="it-IT"/>
        </w:rPr>
        <w:t>.</w:t>
      </w:r>
    </w:p>
    <w:p w:rsidR="008B3A45" w:rsidRPr="00EC0566" w:rsidRDefault="008B3A45" w:rsidP="0099548A">
      <w:pPr>
        <w:pStyle w:val="ECHRPara"/>
        <w:rPr>
          <w:lang w:val="it-IT"/>
        </w:rPr>
      </w:pPr>
      <w:r w:rsidRPr="00375E4B">
        <w:rPr>
          <w:lang w:val="it-IT"/>
        </w:rPr>
        <w:t>16.  </w:t>
      </w:r>
      <w:r w:rsidR="00EC0566" w:rsidRPr="00EC0566">
        <w:rPr>
          <w:lang w:val="it-IT"/>
        </w:rPr>
        <w:t>Infine, i ricorrenti affermavano che le loro possibilità di reinserimento sociale erano molto esigue, se non addirittura inesistenti.</w:t>
      </w:r>
      <w:r w:rsidRPr="00EC0566">
        <w:rPr>
          <w:lang w:val="it-IT"/>
        </w:rPr>
        <w:t xml:space="preserve"> </w:t>
      </w:r>
      <w:r w:rsidR="00EC0566" w:rsidRPr="00EC0566">
        <w:rPr>
          <w:lang w:val="it-IT"/>
        </w:rPr>
        <w:t>Il</w:t>
      </w:r>
      <w:r w:rsidRPr="00EC0566">
        <w:rPr>
          <w:lang w:val="it-IT"/>
        </w:rPr>
        <w:t xml:space="preserve"> TAR o</w:t>
      </w:r>
      <w:r w:rsidR="00EC0566" w:rsidRPr="00EC0566">
        <w:rPr>
          <w:lang w:val="it-IT"/>
        </w:rPr>
        <w:t xml:space="preserve">sservò tuttavia che le somme che </w:t>
      </w:r>
      <w:r w:rsidR="00EA3A84">
        <w:rPr>
          <w:lang w:val="it-IT"/>
        </w:rPr>
        <w:t xml:space="preserve">la </w:t>
      </w:r>
      <w:r w:rsidR="00EC0566" w:rsidRPr="00EC0566">
        <w:rPr>
          <w:lang w:val="it-IT"/>
        </w:rPr>
        <w:t xml:space="preserve">commissione </w:t>
      </w:r>
      <w:r w:rsidRPr="00EC0566">
        <w:rPr>
          <w:i/>
          <w:lang w:val="it-IT"/>
        </w:rPr>
        <w:t>ad hoc</w:t>
      </w:r>
      <w:r w:rsidRPr="00EC0566">
        <w:rPr>
          <w:lang w:val="it-IT"/>
        </w:rPr>
        <w:t xml:space="preserve"> a</w:t>
      </w:r>
      <w:r w:rsidR="00EC0566" w:rsidRPr="00EC0566">
        <w:rPr>
          <w:lang w:val="it-IT"/>
        </w:rPr>
        <w:t>veva accordato miravano, tra l’altro, a favorire il reinserimento degli interessati nel mercato del lavoro</w:t>
      </w:r>
      <w:r w:rsidRPr="00EC0566">
        <w:rPr>
          <w:lang w:val="it-IT"/>
        </w:rPr>
        <w:t>.</w:t>
      </w:r>
    </w:p>
    <w:p w:rsidR="008B3A45" w:rsidRPr="00EC0566" w:rsidRDefault="008B3A45" w:rsidP="0099548A">
      <w:pPr>
        <w:pStyle w:val="ECHRPara"/>
        <w:rPr>
          <w:lang w:val="it-IT"/>
        </w:rPr>
      </w:pPr>
      <w:r w:rsidRPr="00375E4B">
        <w:rPr>
          <w:lang w:val="it-IT"/>
        </w:rPr>
        <w:t>17.  </w:t>
      </w:r>
      <w:r w:rsidR="00EC0566" w:rsidRPr="00EC0566">
        <w:rPr>
          <w:lang w:val="it-IT"/>
        </w:rPr>
        <w:t>I ricorrenti interposero appello dinanzi al Consiglio di Stato.</w:t>
      </w:r>
    </w:p>
    <w:p w:rsidR="008B3A45" w:rsidRPr="002D7188" w:rsidRDefault="008B3A45" w:rsidP="0099548A">
      <w:pPr>
        <w:pStyle w:val="ECHRPara"/>
        <w:rPr>
          <w:lang w:val="it-IT"/>
        </w:rPr>
      </w:pPr>
      <w:r w:rsidRPr="00375E4B">
        <w:rPr>
          <w:lang w:val="it-IT"/>
        </w:rPr>
        <w:t>18.  </w:t>
      </w:r>
      <w:r w:rsidR="00EC0566" w:rsidRPr="002D7188">
        <w:rPr>
          <w:lang w:val="it-IT"/>
        </w:rPr>
        <w:t xml:space="preserve">Con una sentenza resa il </w:t>
      </w:r>
      <w:r w:rsidRPr="002D7188">
        <w:rPr>
          <w:lang w:val="it-IT"/>
        </w:rPr>
        <w:t>16 novembre 2012, d</w:t>
      </w:r>
      <w:r w:rsidR="00EC0566" w:rsidRPr="002D7188">
        <w:rPr>
          <w:lang w:val="it-IT"/>
        </w:rPr>
        <w:t xml:space="preserve">epositata </w:t>
      </w:r>
      <w:r w:rsidR="002D7188" w:rsidRPr="002D7188">
        <w:rPr>
          <w:lang w:val="it-IT"/>
        </w:rPr>
        <w:t>il</w:t>
      </w:r>
      <w:r w:rsidRPr="002D7188">
        <w:rPr>
          <w:lang w:val="it-IT"/>
        </w:rPr>
        <w:t xml:space="preserve"> 14 d</w:t>
      </w:r>
      <w:r w:rsidR="002D7188" w:rsidRPr="002D7188">
        <w:rPr>
          <w:lang w:val="it-IT"/>
        </w:rPr>
        <w:t>i</w:t>
      </w:r>
      <w:r w:rsidRPr="002D7188">
        <w:rPr>
          <w:lang w:val="it-IT"/>
        </w:rPr>
        <w:t xml:space="preserve">cembre 2012, </w:t>
      </w:r>
      <w:r w:rsidR="002D7188" w:rsidRPr="002D7188">
        <w:rPr>
          <w:lang w:val="it-IT"/>
        </w:rPr>
        <w:t>il Consiglio di Stato, ritenendo che il TAR avesse motivato in maniera logica e corr</w:t>
      </w:r>
      <w:r w:rsidR="002D7188">
        <w:rPr>
          <w:lang w:val="it-IT"/>
        </w:rPr>
        <w:t>et</w:t>
      </w:r>
      <w:r w:rsidR="002D7188" w:rsidRPr="002D7188">
        <w:rPr>
          <w:lang w:val="it-IT"/>
        </w:rPr>
        <w:t>ta tutti i punti controversi, rigettò l’</w:t>
      </w:r>
      <w:r w:rsidR="002D7188">
        <w:rPr>
          <w:lang w:val="it-IT"/>
        </w:rPr>
        <w:t>a</w:t>
      </w:r>
      <w:r w:rsidR="002D7188" w:rsidRPr="002D7188">
        <w:rPr>
          <w:lang w:val="it-IT"/>
        </w:rPr>
        <w:t>ppello dei ricorrenti</w:t>
      </w:r>
      <w:r w:rsidRPr="002D7188">
        <w:rPr>
          <w:lang w:val="it-IT"/>
        </w:rPr>
        <w:t>.</w:t>
      </w:r>
    </w:p>
    <w:p w:rsidR="008B3A45" w:rsidRPr="00375E4B" w:rsidRDefault="002D7188" w:rsidP="0099548A">
      <w:pPr>
        <w:pStyle w:val="ECHRTitle1"/>
        <w:rPr>
          <w:lang w:val="it-IT"/>
        </w:rPr>
      </w:pPr>
      <w:r>
        <w:rPr>
          <w:lang w:val="it-IT"/>
        </w:rPr>
        <w:t>MOTIVI DI RICORS</w:t>
      </w:r>
      <w:r w:rsidR="00375E4B">
        <w:rPr>
          <w:lang w:val="it-IT"/>
        </w:rPr>
        <w:t>O</w:t>
      </w:r>
    </w:p>
    <w:p w:rsidR="008B3A45" w:rsidRPr="002D7188" w:rsidRDefault="008B3A45" w:rsidP="0099548A">
      <w:pPr>
        <w:pStyle w:val="ECHRPara"/>
        <w:rPr>
          <w:lang w:val="it-IT"/>
        </w:rPr>
      </w:pPr>
      <w:r w:rsidRPr="00375E4B">
        <w:rPr>
          <w:lang w:val="it-IT"/>
        </w:rPr>
        <w:t>19.  </w:t>
      </w:r>
      <w:r w:rsidRPr="002D7188">
        <w:rPr>
          <w:lang w:val="it-IT"/>
        </w:rPr>
        <w:t>Invo</w:t>
      </w:r>
      <w:r w:rsidR="002D7188" w:rsidRPr="002D7188">
        <w:rPr>
          <w:lang w:val="it-IT"/>
        </w:rPr>
        <w:t>cando l’articolo 8 della Convenzione, i ricorrenti denunciano una violazione del loro diritto al rispetto della vita privata e famigliare</w:t>
      </w:r>
      <w:r w:rsidRPr="002D7188">
        <w:rPr>
          <w:lang w:val="it-IT"/>
        </w:rPr>
        <w:t>.</w:t>
      </w:r>
    </w:p>
    <w:p w:rsidR="008B3A45" w:rsidRPr="000A558A" w:rsidRDefault="00886338" w:rsidP="0099548A">
      <w:pPr>
        <w:pStyle w:val="ECHRTitle1"/>
        <w:rPr>
          <w:lang w:val="it-IT"/>
        </w:rPr>
      </w:pPr>
      <w:r w:rsidRPr="000A558A">
        <w:rPr>
          <w:lang w:val="it-IT"/>
        </w:rPr>
        <w:lastRenderedPageBreak/>
        <w:t>IN DIRITTO</w:t>
      </w:r>
    </w:p>
    <w:p w:rsidR="008B3A45" w:rsidRPr="00375E4B" w:rsidRDefault="008B3A45" w:rsidP="0099548A">
      <w:pPr>
        <w:pStyle w:val="ECHRPara"/>
        <w:rPr>
          <w:lang w:val="it-IT"/>
        </w:rPr>
      </w:pPr>
      <w:r w:rsidRPr="000A558A">
        <w:rPr>
          <w:lang w:val="it-IT"/>
        </w:rPr>
        <w:t>20.  </w:t>
      </w:r>
      <w:r w:rsidR="00375E4B" w:rsidRPr="00375E4B">
        <w:rPr>
          <w:lang w:val="it-IT"/>
        </w:rPr>
        <w:t>I ricorrenti ritengono che vi sia stata una violazione del loro diritto al rispetto della vita privata e famigliare, sancito dall’articolo 8 della Convenzione</w:t>
      </w:r>
      <w:r w:rsidRPr="00375E4B">
        <w:rPr>
          <w:lang w:val="it-IT"/>
        </w:rPr>
        <w:t>.</w:t>
      </w:r>
    </w:p>
    <w:p w:rsidR="008B3A45" w:rsidRPr="00375E4B" w:rsidRDefault="00375E4B" w:rsidP="0099548A">
      <w:pPr>
        <w:pStyle w:val="ECHRPara"/>
        <w:rPr>
          <w:lang w:val="it-IT"/>
        </w:rPr>
      </w:pPr>
      <w:r w:rsidRPr="00375E4B">
        <w:rPr>
          <w:lang w:val="it-IT"/>
        </w:rPr>
        <w:t>La disposizione in questione recita</w:t>
      </w:r>
      <w:r w:rsidR="008B3A45" w:rsidRPr="00375E4B">
        <w:rPr>
          <w:lang w:val="it-IT"/>
        </w:rPr>
        <w:t>:</w:t>
      </w:r>
    </w:p>
    <w:p w:rsidR="008B3A45" w:rsidRPr="00375E4B" w:rsidRDefault="008B3A45" w:rsidP="0099548A">
      <w:pPr>
        <w:pStyle w:val="ECHRParaQuote"/>
        <w:rPr>
          <w:lang w:val="it-IT"/>
        </w:rPr>
      </w:pPr>
      <w:r w:rsidRPr="00375E4B">
        <w:rPr>
          <w:lang w:val="it-IT"/>
        </w:rPr>
        <w:t>«1.  </w:t>
      </w:r>
      <w:r w:rsidR="00375E4B" w:rsidRPr="00375E4B">
        <w:rPr>
          <w:lang w:val="it-IT"/>
        </w:rPr>
        <w:t>Ogni persona ha diritto al rispetto della propria vita privata e familiare, del proprio domicilio e della propria corrispondenza</w:t>
      </w:r>
      <w:r w:rsidRPr="00375E4B">
        <w:rPr>
          <w:lang w:val="it-IT"/>
        </w:rPr>
        <w:t>.</w:t>
      </w:r>
    </w:p>
    <w:p w:rsidR="008B3A45" w:rsidRPr="00375E4B" w:rsidRDefault="008B3A45" w:rsidP="0099548A">
      <w:pPr>
        <w:pStyle w:val="ECHRParaQuote"/>
        <w:rPr>
          <w:lang w:val="it-IT"/>
        </w:rPr>
      </w:pPr>
      <w:r w:rsidRPr="000A558A">
        <w:rPr>
          <w:lang w:val="it-IT"/>
        </w:rPr>
        <w:t>2.  </w:t>
      </w:r>
      <w:r w:rsidR="00375E4B" w:rsidRPr="00375E4B">
        <w:rPr>
          <w:lang w:val="it-IT"/>
        </w:rPr>
        <w:t>Non può esservi ingerenza di una autorità pubblica nell’esercizio di tale diritto a meno che tale ingerenza sia prevista dalla legge e costituisca una misura che, in una società democratica, è necessaria alla sicurezza nazionale, alla pubblica sicurezza, al benessere economico del paese, alla difesa dell’ordine e alla prevenzione dei reati, alla protezione della salute e della morale, o alla protezione dei diritti e delle libertà altrui</w:t>
      </w:r>
      <w:r w:rsidRPr="00375E4B">
        <w:rPr>
          <w:lang w:val="it-IT"/>
        </w:rPr>
        <w:t>.»</w:t>
      </w:r>
    </w:p>
    <w:p w:rsidR="008B3A45" w:rsidRPr="0096124D" w:rsidRDefault="008B3A45" w:rsidP="0099548A">
      <w:pPr>
        <w:pStyle w:val="ECHRPara"/>
        <w:rPr>
          <w:lang w:val="it-IT"/>
        </w:rPr>
      </w:pPr>
      <w:r w:rsidRPr="000A558A">
        <w:rPr>
          <w:lang w:val="it-IT"/>
        </w:rPr>
        <w:t>21.  </w:t>
      </w:r>
      <w:r w:rsidR="00375E4B" w:rsidRPr="00375E4B">
        <w:rPr>
          <w:lang w:val="it-IT"/>
        </w:rPr>
        <w:t>I ricorrenti affermano di avere deciso di denunciare le intimidazioni di cui erano stati oggetto e di testimoniare contro i responsabili allo scopo di migliorare la vita economica e sociale di tutti i cittadini</w:t>
      </w:r>
      <w:r w:rsidRPr="00375E4B">
        <w:rPr>
          <w:lang w:val="it-IT"/>
        </w:rPr>
        <w:t xml:space="preserve">. </w:t>
      </w:r>
      <w:r w:rsidR="00375E4B" w:rsidRPr="00375E4B">
        <w:rPr>
          <w:lang w:val="it-IT"/>
        </w:rPr>
        <w:t xml:space="preserve">Tuttavia, questa scelta ha impedito loro di condurre una vita </w:t>
      </w:r>
      <w:r w:rsidRPr="00375E4B">
        <w:rPr>
          <w:lang w:val="it-IT"/>
        </w:rPr>
        <w:t xml:space="preserve">normale: </w:t>
      </w:r>
      <w:r w:rsidR="00375E4B" w:rsidRPr="00375E4B">
        <w:rPr>
          <w:lang w:val="it-IT"/>
        </w:rPr>
        <w:t>hanno ricevuto una nuova identità, sono stati allontanati dal loro ambiente sociale e trasferiti in una località segreta. Sono stati costretti a vivere in maniera isolata e senza relazioni sociali, il che ha avuto ripercussioni negative sulla loro integrità fisica e morale</w:t>
      </w:r>
      <w:r w:rsidRPr="00375E4B">
        <w:rPr>
          <w:lang w:val="it-IT"/>
        </w:rPr>
        <w:t xml:space="preserve">. </w:t>
      </w:r>
      <w:r w:rsidR="0096124D">
        <w:rPr>
          <w:lang w:val="it-IT"/>
        </w:rPr>
        <w:t>I ricorrenti e i loro figli hanno sofferto di</w:t>
      </w:r>
      <w:r w:rsidR="0096124D" w:rsidRPr="0096124D">
        <w:rPr>
          <w:lang w:val="it-IT"/>
        </w:rPr>
        <w:t xml:space="preserve"> </w:t>
      </w:r>
      <w:r w:rsidR="0096124D">
        <w:rPr>
          <w:lang w:val="it-IT"/>
        </w:rPr>
        <w:t xml:space="preserve">esaurimento, depressione, attacchi di panico e disturbi alimentari, e considerano che nonostante il loro sacrificio la commissione </w:t>
      </w:r>
      <w:r w:rsidRPr="0096124D">
        <w:rPr>
          <w:i/>
          <w:lang w:val="it-IT"/>
        </w:rPr>
        <w:t xml:space="preserve">ad hoc </w:t>
      </w:r>
      <w:r w:rsidR="0096124D" w:rsidRPr="0096124D">
        <w:rPr>
          <w:lang w:val="it-IT"/>
        </w:rPr>
        <w:t>abbia accordato loro una somma insufficiente</w:t>
      </w:r>
      <w:r w:rsidR="0096124D">
        <w:rPr>
          <w:lang w:val="it-IT"/>
        </w:rPr>
        <w:t xml:space="preserve">, che non permette un reinserimento sociale adeguato e non copre il mancato guadagno di cui sono stati vittime. </w:t>
      </w:r>
      <w:r w:rsidR="0096124D" w:rsidRPr="0096124D">
        <w:rPr>
          <w:lang w:val="it-IT"/>
        </w:rPr>
        <w:t xml:space="preserve">In effetti, tale somma è servita unicamente per l’acquisto di un alloggio. Perciò la finalità della legge n. 82 del 1991, ossia evitare che la scelta di testimoniare contro la mafia possa avere ripercussioni </w:t>
      </w:r>
      <w:r w:rsidR="0096124D">
        <w:rPr>
          <w:lang w:val="it-IT"/>
        </w:rPr>
        <w:t>negative per i testimoni interessati, non sarebbe stata rispettata</w:t>
      </w:r>
      <w:r w:rsidRPr="0096124D">
        <w:rPr>
          <w:lang w:val="it-IT"/>
        </w:rPr>
        <w:t>.</w:t>
      </w:r>
    </w:p>
    <w:p w:rsidR="008B3A45" w:rsidRPr="00D53398" w:rsidRDefault="008B3A45" w:rsidP="0099548A">
      <w:pPr>
        <w:pStyle w:val="ECHRPara"/>
        <w:rPr>
          <w:lang w:val="it-IT"/>
        </w:rPr>
      </w:pPr>
      <w:r w:rsidRPr="000A558A">
        <w:rPr>
          <w:rFonts w:cstheme="minorHAnsi"/>
          <w:lang w:val="it-IT"/>
        </w:rPr>
        <w:t>22.  </w:t>
      </w:r>
      <w:r w:rsidR="0096124D" w:rsidRPr="0096124D">
        <w:rPr>
          <w:rFonts w:cstheme="minorHAnsi"/>
          <w:lang w:val="it-IT"/>
        </w:rPr>
        <w:t xml:space="preserve">Alla data delle ultime informazioni (9 luglio </w:t>
      </w:r>
      <w:r w:rsidRPr="0096124D">
        <w:rPr>
          <w:lang w:val="it-IT"/>
        </w:rPr>
        <w:t xml:space="preserve">2013), </w:t>
      </w:r>
      <w:r w:rsidR="0096124D" w:rsidRPr="0096124D">
        <w:rPr>
          <w:lang w:val="it-IT"/>
        </w:rPr>
        <w:t xml:space="preserve">i ricorrenti erano alla ricerca di un lavoro e incontravano numerose difficoltà, tra le quali la circostanza che </w:t>
      </w:r>
      <w:r w:rsidR="0096124D">
        <w:rPr>
          <w:lang w:val="it-IT"/>
        </w:rPr>
        <w:t>su</w:t>
      </w:r>
      <w:r w:rsidR="0096124D" w:rsidRPr="0096124D">
        <w:rPr>
          <w:lang w:val="it-IT"/>
        </w:rPr>
        <w:t xml:space="preserve">i loro </w:t>
      </w:r>
      <w:r w:rsidRPr="0096124D">
        <w:rPr>
          <w:i/>
          <w:lang w:val="it-IT"/>
        </w:rPr>
        <w:t>curricula</w:t>
      </w:r>
      <w:r w:rsidRPr="0096124D">
        <w:rPr>
          <w:lang w:val="it-IT"/>
        </w:rPr>
        <w:t xml:space="preserve"> </w:t>
      </w:r>
      <w:r w:rsidR="0096124D">
        <w:rPr>
          <w:lang w:val="it-IT"/>
        </w:rPr>
        <w:t xml:space="preserve">era riportato che non avevano esercitato alcuna attività lucrativa legale dal </w:t>
      </w:r>
      <w:r w:rsidRPr="0096124D">
        <w:rPr>
          <w:lang w:val="it-IT"/>
        </w:rPr>
        <w:t xml:space="preserve">1998 </w:t>
      </w:r>
      <w:r w:rsidR="0096124D">
        <w:rPr>
          <w:lang w:val="it-IT"/>
        </w:rPr>
        <w:t>al</w:t>
      </w:r>
      <w:r w:rsidRPr="0096124D">
        <w:rPr>
          <w:lang w:val="it-IT"/>
        </w:rPr>
        <w:t xml:space="preserve"> 2013. </w:t>
      </w:r>
      <w:r w:rsidR="00D53398">
        <w:rPr>
          <w:lang w:val="it-IT"/>
        </w:rPr>
        <w:t>Inoltre, sarebbe vietato loto di partecipare a concorsi per l’accesso alla pubblica amministrazione</w:t>
      </w:r>
      <w:r w:rsidRPr="00D53398">
        <w:rPr>
          <w:lang w:val="it-IT"/>
        </w:rPr>
        <w:t>.</w:t>
      </w:r>
    </w:p>
    <w:p w:rsidR="008B3A45" w:rsidRPr="000A558A" w:rsidRDefault="008B3A45" w:rsidP="0099548A">
      <w:pPr>
        <w:pStyle w:val="ECHRPara"/>
        <w:rPr>
          <w:lang w:val="it-IT"/>
        </w:rPr>
      </w:pPr>
      <w:r w:rsidRPr="000A558A">
        <w:rPr>
          <w:lang w:val="it-IT"/>
        </w:rPr>
        <w:t>23.  La Co</w:t>
      </w:r>
      <w:r w:rsidR="00D53398" w:rsidRPr="000A558A">
        <w:rPr>
          <w:lang w:val="it-IT"/>
        </w:rPr>
        <w:t>rte deve anzitutto esamina</w:t>
      </w:r>
      <w:r w:rsidR="001F33FA" w:rsidRPr="000A558A">
        <w:rPr>
          <w:lang w:val="it-IT"/>
        </w:rPr>
        <w:t>re la questione di stabilire se il diritto invocato dai ricorrenti rientri nella nozione di «rispetto» della «vita privata e famigliare» di cui all’articolo 8 della Convenzione.</w:t>
      </w:r>
    </w:p>
    <w:p w:rsidR="008B3A45" w:rsidRPr="00CD6A13" w:rsidRDefault="008B3A45" w:rsidP="0099548A">
      <w:pPr>
        <w:pStyle w:val="ECHRPara"/>
        <w:rPr>
          <w:lang w:val="it-IT"/>
        </w:rPr>
      </w:pPr>
      <w:r w:rsidRPr="000A558A">
        <w:rPr>
          <w:lang w:val="it-IT"/>
        </w:rPr>
        <w:t>24.  </w:t>
      </w:r>
      <w:r w:rsidR="00EA3A84">
        <w:rPr>
          <w:lang w:val="it-IT"/>
        </w:rPr>
        <w:t>La Corte</w:t>
      </w:r>
      <w:r w:rsidR="001F33FA" w:rsidRPr="00CD6A13">
        <w:rPr>
          <w:lang w:val="it-IT"/>
        </w:rPr>
        <w:t xml:space="preserve"> rammenta che </w:t>
      </w:r>
      <w:r w:rsidR="00CD6A13" w:rsidRPr="00CD6A13">
        <w:rPr>
          <w:lang w:val="it-IT"/>
        </w:rPr>
        <w:t xml:space="preserve">la sfera della vita privata, così come essa la concepisce, comprende l'integrità fisica e morale di una persona; la garanzia offerta dall'articolo 8 della Convenzione è destinata principalmente ad assicurare lo sviluppo, senza ingerenze esterne, della personalità di ogni individuo nelle relazioni con i suoi simili </w:t>
      </w:r>
      <w:r w:rsidRPr="00CD6A13">
        <w:rPr>
          <w:lang w:val="it-IT"/>
        </w:rPr>
        <w:t>(</w:t>
      </w:r>
      <w:r w:rsidRPr="00CD6A13">
        <w:rPr>
          <w:i/>
          <w:lang w:val="it-IT"/>
        </w:rPr>
        <w:t>Botta c. Itali</w:t>
      </w:r>
      <w:r w:rsidR="00CD6A13">
        <w:rPr>
          <w:i/>
          <w:lang w:val="it-IT"/>
        </w:rPr>
        <w:t>a</w:t>
      </w:r>
      <w:r w:rsidRPr="00CD6A13">
        <w:rPr>
          <w:lang w:val="it-IT"/>
        </w:rPr>
        <w:t>, 24 f</w:t>
      </w:r>
      <w:r w:rsidR="00CD6A13">
        <w:rPr>
          <w:lang w:val="it-IT"/>
        </w:rPr>
        <w:t>ebbraio</w:t>
      </w:r>
      <w:r w:rsidRPr="00CD6A13">
        <w:rPr>
          <w:lang w:val="it-IT"/>
        </w:rPr>
        <w:t xml:space="preserve"> 1998, § 32, </w:t>
      </w:r>
      <w:proofErr w:type="spellStart"/>
      <w:r w:rsidRPr="00CD6A13">
        <w:rPr>
          <w:i/>
          <w:lang w:val="it-IT"/>
        </w:rPr>
        <w:t>Recueil</w:t>
      </w:r>
      <w:proofErr w:type="spellEnd"/>
      <w:r w:rsidRPr="00CD6A13">
        <w:rPr>
          <w:i/>
          <w:lang w:val="it-IT"/>
        </w:rPr>
        <w:t xml:space="preserve"> </w:t>
      </w:r>
      <w:proofErr w:type="spellStart"/>
      <w:r w:rsidRPr="00CD6A13">
        <w:rPr>
          <w:i/>
          <w:lang w:val="it-IT"/>
        </w:rPr>
        <w:t>des</w:t>
      </w:r>
      <w:proofErr w:type="spellEnd"/>
      <w:r w:rsidRPr="00CD6A13">
        <w:rPr>
          <w:i/>
          <w:lang w:val="it-IT"/>
        </w:rPr>
        <w:t xml:space="preserve"> </w:t>
      </w:r>
      <w:proofErr w:type="spellStart"/>
      <w:r w:rsidRPr="00CD6A13">
        <w:rPr>
          <w:i/>
          <w:lang w:val="it-IT"/>
        </w:rPr>
        <w:t>arrêts</w:t>
      </w:r>
      <w:proofErr w:type="spellEnd"/>
      <w:r w:rsidRPr="00CD6A13">
        <w:rPr>
          <w:i/>
          <w:lang w:val="it-IT"/>
        </w:rPr>
        <w:t xml:space="preserve"> et </w:t>
      </w:r>
      <w:proofErr w:type="spellStart"/>
      <w:r w:rsidRPr="00CD6A13">
        <w:rPr>
          <w:i/>
          <w:lang w:val="it-IT"/>
        </w:rPr>
        <w:t>décisions</w:t>
      </w:r>
      <w:proofErr w:type="spellEnd"/>
      <w:r w:rsidRPr="00CD6A13">
        <w:rPr>
          <w:i/>
          <w:lang w:val="it-IT"/>
        </w:rPr>
        <w:t xml:space="preserve"> </w:t>
      </w:r>
      <w:r w:rsidRPr="00CD6A13">
        <w:rPr>
          <w:lang w:val="it-IT"/>
        </w:rPr>
        <w:t>1998-I).</w:t>
      </w:r>
    </w:p>
    <w:p w:rsidR="008B3A45" w:rsidRPr="00D614A2" w:rsidRDefault="008B3A45" w:rsidP="0099548A">
      <w:pPr>
        <w:pStyle w:val="ECHRPara"/>
        <w:rPr>
          <w:lang w:val="it-IT"/>
        </w:rPr>
      </w:pPr>
      <w:r w:rsidRPr="000A558A">
        <w:rPr>
          <w:lang w:val="it-IT"/>
        </w:rPr>
        <w:lastRenderedPageBreak/>
        <w:t>25.  </w:t>
      </w:r>
      <w:r w:rsidR="00CD6A13" w:rsidRPr="004E49E4">
        <w:rPr>
          <w:lang w:val="it-IT"/>
        </w:rPr>
        <w:t>Nel caso di specie, la Corte nota che i ricorrent</w:t>
      </w:r>
      <w:r w:rsidR="00CD6A13">
        <w:rPr>
          <w:lang w:val="it-IT"/>
        </w:rPr>
        <w:t>i contestano in sostanza non un atto dello Stato, ma l'inerzia dello Stato, al quale rimproverano di non aver adottato le misure positive, soprattutto di natura economica, necessarie per garantire loro un reinserim</w:t>
      </w:r>
      <w:bookmarkStart w:id="5" w:name="_GoBack"/>
      <w:bookmarkEnd w:id="5"/>
      <w:r w:rsidR="00CD6A13">
        <w:rPr>
          <w:lang w:val="it-IT"/>
        </w:rPr>
        <w:t xml:space="preserve">ento sociale adeguato dopo che avevano scelto di testimoniare contro le persone responsabili degli omicidi commessi nel </w:t>
      </w:r>
      <w:r w:rsidR="00CD6A13" w:rsidRPr="00CD6A13">
        <w:rPr>
          <w:lang w:val="it-IT"/>
        </w:rPr>
        <w:t>1996.</w:t>
      </w:r>
      <w:r w:rsidR="00D614A2">
        <w:rPr>
          <w:lang w:val="it-IT"/>
        </w:rPr>
        <w:t xml:space="preserve"> </w:t>
      </w:r>
      <w:r w:rsidR="00D614A2" w:rsidRPr="00D614A2">
        <w:rPr>
          <w:lang w:val="it-IT"/>
        </w:rPr>
        <w:t xml:space="preserve">In effetti, anche se i ricorrenti accennano all’allontanamento dal loro ambiente sociale e al trasferimento in una località segreta sotto una nuova identità, essi non criticano queste misure in quanto tali, e sembrano accettare che le stesse fossero necessarie per </w:t>
      </w:r>
      <w:r w:rsidR="00D614A2">
        <w:rPr>
          <w:lang w:val="it-IT"/>
        </w:rPr>
        <w:t>proteggere loro e i loro parenti</w:t>
      </w:r>
      <w:r w:rsidR="00D614A2" w:rsidRPr="00D614A2">
        <w:rPr>
          <w:lang w:val="it-IT"/>
        </w:rPr>
        <w:t>.</w:t>
      </w:r>
      <w:r w:rsidR="00D614A2">
        <w:rPr>
          <w:lang w:val="it-IT"/>
        </w:rPr>
        <w:t xml:space="preserve"> </w:t>
      </w:r>
      <w:r w:rsidR="00D614A2" w:rsidRPr="00D614A2">
        <w:rPr>
          <w:lang w:val="it-IT"/>
        </w:rPr>
        <w:t>Pertanto, la sola questione che la Corte è chiamata ad esaminare nella presente causa è quella di stabilire se la decisione della commissione</w:t>
      </w:r>
      <w:r w:rsidR="00CD6A13" w:rsidRPr="00D614A2">
        <w:rPr>
          <w:lang w:val="it-IT"/>
        </w:rPr>
        <w:t xml:space="preserve"> </w:t>
      </w:r>
      <w:r w:rsidRPr="00D614A2">
        <w:rPr>
          <w:i/>
          <w:lang w:val="it-IT"/>
        </w:rPr>
        <w:t xml:space="preserve">ad hoc </w:t>
      </w:r>
      <w:r w:rsidRPr="00D614A2">
        <w:rPr>
          <w:lang w:val="it-IT"/>
        </w:rPr>
        <w:t>d</w:t>
      </w:r>
      <w:r w:rsidR="00D614A2">
        <w:rPr>
          <w:lang w:val="it-IT"/>
        </w:rPr>
        <w:t xml:space="preserve">i accogliere solo in parte la domanda dei ricorrenti volta a ottenere una indennità finanziaria abbia </w:t>
      </w:r>
      <w:r w:rsidR="002B4FF9">
        <w:rPr>
          <w:lang w:val="it-IT"/>
        </w:rPr>
        <w:t>viola</w:t>
      </w:r>
      <w:r w:rsidR="00D614A2">
        <w:rPr>
          <w:lang w:val="it-IT"/>
        </w:rPr>
        <w:t xml:space="preserve">to </w:t>
      </w:r>
      <w:r w:rsidR="002B4FF9">
        <w:rPr>
          <w:lang w:val="it-IT"/>
        </w:rPr>
        <w:t xml:space="preserve">i diritti degli interessati sanciti dall’articolo </w:t>
      </w:r>
      <w:r w:rsidRPr="00D614A2">
        <w:rPr>
          <w:lang w:val="it-IT"/>
        </w:rPr>
        <w:t>8 de</w:t>
      </w:r>
      <w:r w:rsidR="002B4FF9">
        <w:rPr>
          <w:lang w:val="it-IT"/>
        </w:rPr>
        <w:t>l</w:t>
      </w:r>
      <w:r w:rsidRPr="00D614A2">
        <w:rPr>
          <w:lang w:val="it-IT"/>
        </w:rPr>
        <w:t>la Conven</w:t>
      </w:r>
      <w:r w:rsidR="002B4FF9">
        <w:rPr>
          <w:lang w:val="it-IT"/>
        </w:rPr>
        <w:t>zione</w:t>
      </w:r>
      <w:r w:rsidRPr="00D614A2">
        <w:rPr>
          <w:lang w:val="it-IT"/>
        </w:rPr>
        <w:t>.</w:t>
      </w:r>
    </w:p>
    <w:p w:rsidR="008B3A45" w:rsidRPr="002B4FF9" w:rsidRDefault="008B3A45" w:rsidP="0099548A">
      <w:pPr>
        <w:pStyle w:val="ECHRPara"/>
        <w:rPr>
          <w:lang w:val="it-IT"/>
        </w:rPr>
      </w:pPr>
      <w:r w:rsidRPr="000A558A">
        <w:rPr>
          <w:lang w:val="it-IT"/>
        </w:rPr>
        <w:t>26.  </w:t>
      </w:r>
      <w:r w:rsidRPr="00CD6A13">
        <w:rPr>
          <w:lang w:val="it-IT"/>
        </w:rPr>
        <w:t xml:space="preserve">La </w:t>
      </w:r>
      <w:r w:rsidR="00CD6A13" w:rsidRPr="00CD6A13">
        <w:rPr>
          <w:lang w:val="it-IT"/>
        </w:rPr>
        <w:t>Corte rammenta</w:t>
      </w:r>
      <w:r w:rsidR="002B4FF9">
        <w:rPr>
          <w:lang w:val="it-IT"/>
        </w:rPr>
        <w:t xml:space="preserve"> che</w:t>
      </w:r>
      <w:r w:rsidR="00CD6A13" w:rsidRPr="00CD6A13">
        <w:rPr>
          <w:lang w:val="it-IT"/>
        </w:rPr>
        <w:t xml:space="preserve">, se l'articolo 8 si prefigge essenzialmente di proteggere l'individuo dalle ingerenze arbitrarie dei poteri pubblici, esso non si limita ad ordinare allo Stato di astenersi da tali ingerenze: a questo impegno negativo possono aggiungersi obblighi positivi inerenti ad un rispetto effettivo della vita privata o familiare </w:t>
      </w:r>
      <w:r w:rsidRPr="00CD6A13">
        <w:rPr>
          <w:lang w:val="it-IT"/>
        </w:rPr>
        <w:t>(</w:t>
      </w:r>
      <w:r w:rsidRPr="00CD6A13">
        <w:rPr>
          <w:i/>
          <w:lang w:val="it-IT"/>
        </w:rPr>
        <w:t>Guerra e</w:t>
      </w:r>
      <w:r w:rsidR="00CD6A13" w:rsidRPr="00CD6A13">
        <w:rPr>
          <w:i/>
          <w:lang w:val="it-IT"/>
        </w:rPr>
        <w:t xml:space="preserve"> altri</w:t>
      </w:r>
      <w:r w:rsidRPr="00CD6A13">
        <w:rPr>
          <w:i/>
          <w:lang w:val="it-IT"/>
        </w:rPr>
        <w:t xml:space="preserve"> c. Itali</w:t>
      </w:r>
      <w:r w:rsidR="00CD6A13">
        <w:rPr>
          <w:i/>
          <w:lang w:val="it-IT"/>
        </w:rPr>
        <w:t>a</w:t>
      </w:r>
      <w:r w:rsidRPr="00CD6A13">
        <w:rPr>
          <w:lang w:val="it-IT"/>
        </w:rPr>
        <w:t>, 19 f</w:t>
      </w:r>
      <w:r w:rsidR="00CD6A13">
        <w:rPr>
          <w:lang w:val="it-IT"/>
        </w:rPr>
        <w:t>ebbraio</w:t>
      </w:r>
      <w:r w:rsidRPr="00CD6A13">
        <w:rPr>
          <w:lang w:val="it-IT"/>
        </w:rPr>
        <w:t xml:space="preserve"> 1998, § 58, </w:t>
      </w:r>
      <w:proofErr w:type="spellStart"/>
      <w:r w:rsidRPr="00CD6A13">
        <w:rPr>
          <w:i/>
          <w:lang w:val="it-IT"/>
        </w:rPr>
        <w:t>Recueil</w:t>
      </w:r>
      <w:proofErr w:type="spellEnd"/>
      <w:r w:rsidRPr="00CD6A13">
        <w:rPr>
          <w:i/>
          <w:lang w:val="it-IT"/>
        </w:rPr>
        <w:t xml:space="preserve"> </w:t>
      </w:r>
      <w:r w:rsidRPr="00CD6A13">
        <w:rPr>
          <w:lang w:val="it-IT"/>
        </w:rPr>
        <w:t xml:space="preserve">1998-I, e </w:t>
      </w:r>
      <w:r w:rsidR="00DD3ED5" w:rsidRPr="00CD6A13">
        <w:rPr>
          <w:i/>
          <w:lang w:val="it-IT"/>
        </w:rPr>
        <w:t>Di</w:t>
      </w:r>
      <w:r w:rsidR="00CD6A13">
        <w:rPr>
          <w:i/>
          <w:lang w:val="it-IT"/>
        </w:rPr>
        <w:t xml:space="preserve"> </w:t>
      </w:r>
      <w:r w:rsidRPr="00CD6A13">
        <w:rPr>
          <w:i/>
          <w:lang w:val="it-IT"/>
        </w:rPr>
        <w:t>Sarno e</w:t>
      </w:r>
      <w:r w:rsidR="00CD6A13">
        <w:rPr>
          <w:i/>
          <w:lang w:val="it-IT"/>
        </w:rPr>
        <w:t xml:space="preserve"> altri</w:t>
      </w:r>
      <w:r w:rsidRPr="00CD6A13">
        <w:rPr>
          <w:i/>
          <w:lang w:val="it-IT"/>
        </w:rPr>
        <w:t xml:space="preserve"> c. Itali</w:t>
      </w:r>
      <w:r w:rsidR="00CD6A13">
        <w:rPr>
          <w:i/>
          <w:lang w:val="it-IT"/>
        </w:rPr>
        <w:t>a</w:t>
      </w:r>
      <w:r w:rsidRPr="00CD6A13">
        <w:rPr>
          <w:lang w:val="it-IT"/>
        </w:rPr>
        <w:t>, n</w:t>
      </w:r>
      <w:r w:rsidR="00CD6A13">
        <w:rPr>
          <w:lang w:val="it-IT"/>
        </w:rPr>
        <w:t xml:space="preserve">. </w:t>
      </w:r>
      <w:r w:rsidRPr="00CD6A13">
        <w:rPr>
          <w:lang w:val="it-IT"/>
        </w:rPr>
        <w:t xml:space="preserve">30765/08, § 105, 10 </w:t>
      </w:r>
      <w:r w:rsidR="00CD6A13">
        <w:rPr>
          <w:lang w:val="it-IT"/>
        </w:rPr>
        <w:t>gennaio</w:t>
      </w:r>
      <w:r w:rsidRPr="00CD6A13">
        <w:rPr>
          <w:lang w:val="it-IT"/>
        </w:rPr>
        <w:t xml:space="preserve"> 2012). </w:t>
      </w:r>
      <w:r w:rsidR="002B4FF9">
        <w:rPr>
          <w:lang w:val="it-IT"/>
        </w:rPr>
        <w:t>La nozione di rispetto manca tuttavia di chiarezza: per stabilire se esistono tali obblighi, occorre tener conto del giusto equilibrio da mantenere tra l'interesse generale e gli interessi dell'individuo, in quanto lo Stato gode comunque di un margine di apprezzamento</w:t>
      </w:r>
      <w:r w:rsidR="002B4FF9" w:rsidRPr="004E49E4">
        <w:rPr>
          <w:lang w:val="it-IT"/>
        </w:rPr>
        <w:t xml:space="preserve"> </w:t>
      </w:r>
      <w:r w:rsidRPr="002B4FF9">
        <w:rPr>
          <w:lang w:val="it-IT"/>
        </w:rPr>
        <w:t>(</w:t>
      </w:r>
      <w:r w:rsidRPr="002B4FF9">
        <w:rPr>
          <w:i/>
          <w:lang w:val="it-IT"/>
        </w:rPr>
        <w:t>Botta</w:t>
      </w:r>
      <w:r w:rsidRPr="002B4FF9">
        <w:rPr>
          <w:lang w:val="it-IT"/>
        </w:rPr>
        <w:t xml:space="preserve">, </w:t>
      </w:r>
      <w:r w:rsidR="002B4FF9">
        <w:rPr>
          <w:lang w:val="it-IT"/>
        </w:rPr>
        <w:t>sopra citata</w:t>
      </w:r>
      <w:r w:rsidRPr="002B4FF9">
        <w:rPr>
          <w:lang w:val="it-IT"/>
        </w:rPr>
        <w:t xml:space="preserve">, § 33; </w:t>
      </w:r>
      <w:r w:rsidRPr="002B4FF9">
        <w:rPr>
          <w:i/>
          <w:lang w:val="it-IT"/>
        </w:rPr>
        <w:t>Christine Goodwin c.</w:t>
      </w:r>
      <w:r w:rsidR="00CA2ADB" w:rsidRPr="002B4FF9">
        <w:rPr>
          <w:i/>
          <w:lang w:val="it-IT"/>
        </w:rPr>
        <w:t xml:space="preserve"> </w:t>
      </w:r>
      <w:r w:rsidRPr="002B4FF9">
        <w:rPr>
          <w:i/>
          <w:lang w:val="it-IT"/>
        </w:rPr>
        <w:t>R</w:t>
      </w:r>
      <w:r w:rsidR="00A639A6">
        <w:rPr>
          <w:i/>
          <w:lang w:val="it-IT"/>
        </w:rPr>
        <w:t>egno Unito</w:t>
      </w:r>
      <w:r w:rsidRPr="002B4FF9">
        <w:rPr>
          <w:i/>
          <w:lang w:val="it-IT"/>
        </w:rPr>
        <w:t xml:space="preserve"> </w:t>
      </w:r>
      <w:r w:rsidRPr="002B4FF9">
        <w:rPr>
          <w:lang w:val="it-IT"/>
        </w:rPr>
        <w:t>[GC], n</w:t>
      </w:r>
      <w:r w:rsidR="00A639A6">
        <w:rPr>
          <w:lang w:val="it-IT"/>
        </w:rPr>
        <w:t>.</w:t>
      </w:r>
      <w:r w:rsidRPr="002B4FF9">
        <w:rPr>
          <w:lang w:val="it-IT"/>
        </w:rPr>
        <w:t xml:space="preserve"> 28957/95, § 72, CED</w:t>
      </w:r>
      <w:r w:rsidR="00A639A6">
        <w:rPr>
          <w:lang w:val="it-IT"/>
        </w:rPr>
        <w:t>U</w:t>
      </w:r>
      <w:r w:rsidRPr="002B4FF9">
        <w:rPr>
          <w:lang w:val="it-IT"/>
        </w:rPr>
        <w:t xml:space="preserve"> 2002-VI; e </w:t>
      </w:r>
      <w:proofErr w:type="spellStart"/>
      <w:r w:rsidRPr="002B4FF9">
        <w:rPr>
          <w:i/>
          <w:lang w:val="it-IT"/>
        </w:rPr>
        <w:t>Briani</w:t>
      </w:r>
      <w:proofErr w:type="spellEnd"/>
      <w:r w:rsidRPr="002B4FF9">
        <w:rPr>
          <w:i/>
          <w:lang w:val="it-IT"/>
        </w:rPr>
        <w:t xml:space="preserve"> c. Itali</w:t>
      </w:r>
      <w:r w:rsidR="00A639A6">
        <w:rPr>
          <w:i/>
          <w:lang w:val="it-IT"/>
        </w:rPr>
        <w:t>a</w:t>
      </w:r>
      <w:r w:rsidRPr="002B4FF9">
        <w:rPr>
          <w:i/>
          <w:lang w:val="it-IT"/>
        </w:rPr>
        <w:t xml:space="preserve"> </w:t>
      </w:r>
      <w:r w:rsidRPr="002B4FF9">
        <w:rPr>
          <w:lang w:val="it-IT"/>
        </w:rPr>
        <w:t>(d</w:t>
      </w:r>
      <w:r w:rsidR="00A639A6">
        <w:rPr>
          <w:lang w:val="it-IT"/>
        </w:rPr>
        <w:t>e</w:t>
      </w:r>
      <w:r w:rsidRPr="002B4FF9">
        <w:rPr>
          <w:lang w:val="it-IT"/>
        </w:rPr>
        <w:t>c.), n</w:t>
      </w:r>
      <w:r w:rsidR="00A639A6">
        <w:rPr>
          <w:lang w:val="it-IT"/>
        </w:rPr>
        <w:t>.</w:t>
      </w:r>
      <w:r w:rsidR="00CA2ADB" w:rsidRPr="002B4FF9">
        <w:rPr>
          <w:lang w:val="it-IT"/>
        </w:rPr>
        <w:t xml:space="preserve"> </w:t>
      </w:r>
      <w:r w:rsidRPr="002B4FF9">
        <w:rPr>
          <w:lang w:val="it-IT"/>
        </w:rPr>
        <w:t>33756/09, § 20, 9 se</w:t>
      </w:r>
      <w:r w:rsidR="00A639A6">
        <w:rPr>
          <w:lang w:val="it-IT"/>
        </w:rPr>
        <w:t>t</w:t>
      </w:r>
      <w:r w:rsidRPr="002B4FF9">
        <w:rPr>
          <w:lang w:val="it-IT"/>
        </w:rPr>
        <w:t>tembre 2014).</w:t>
      </w:r>
    </w:p>
    <w:p w:rsidR="008B3A45" w:rsidRPr="00A639A6" w:rsidRDefault="008B3A45" w:rsidP="0099548A">
      <w:pPr>
        <w:pStyle w:val="ECHRPara"/>
        <w:rPr>
          <w:lang w:val="it-IT"/>
        </w:rPr>
      </w:pPr>
      <w:r w:rsidRPr="000A558A">
        <w:rPr>
          <w:lang w:val="it-IT"/>
        </w:rPr>
        <w:t>27.  </w:t>
      </w:r>
      <w:r w:rsidR="00A639A6" w:rsidRPr="00A639A6">
        <w:rPr>
          <w:lang w:val="it-IT"/>
        </w:rPr>
        <w:t>La Corte rammenta anche di aver concluso per l'esistenza di questo tipo di obblighi a carico di uno Stato quando ha constatato la presenza di un legame diretto e immediato tra, da una parte, le misure richieste da un ricorrente e, dall'altra parte, la vita privata e/o familiare di quest'ultimo (</w:t>
      </w:r>
      <w:r w:rsidR="00A639A6" w:rsidRPr="00A639A6">
        <w:rPr>
          <w:i/>
          <w:lang w:val="it-IT"/>
        </w:rPr>
        <w:t>Botta</w:t>
      </w:r>
      <w:r w:rsidR="00A639A6" w:rsidRPr="00A639A6">
        <w:rPr>
          <w:lang w:val="it-IT"/>
        </w:rPr>
        <w:t>, sopra citata, § 34</w:t>
      </w:r>
      <w:r w:rsidRPr="00A639A6">
        <w:rPr>
          <w:lang w:val="it-IT"/>
        </w:rPr>
        <w:t xml:space="preserve">, e </w:t>
      </w:r>
      <w:proofErr w:type="spellStart"/>
      <w:r w:rsidRPr="00A639A6">
        <w:rPr>
          <w:i/>
          <w:lang w:val="it-IT"/>
        </w:rPr>
        <w:t>Briani</w:t>
      </w:r>
      <w:proofErr w:type="spellEnd"/>
      <w:r w:rsidRPr="00A639A6">
        <w:rPr>
          <w:lang w:val="it-IT"/>
        </w:rPr>
        <w:t>, d</w:t>
      </w:r>
      <w:r w:rsidR="00A639A6" w:rsidRPr="00A639A6">
        <w:rPr>
          <w:lang w:val="it-IT"/>
        </w:rPr>
        <w:t>ecisione sopra citata</w:t>
      </w:r>
      <w:r w:rsidRPr="00A639A6">
        <w:rPr>
          <w:lang w:val="it-IT"/>
        </w:rPr>
        <w:t>, § 21).</w:t>
      </w:r>
    </w:p>
    <w:p w:rsidR="008B3A45" w:rsidRPr="002E6F68" w:rsidRDefault="008B3A45" w:rsidP="0099548A">
      <w:pPr>
        <w:pStyle w:val="ECHRPara"/>
        <w:rPr>
          <w:lang w:val="it-IT"/>
        </w:rPr>
      </w:pPr>
      <w:r w:rsidRPr="000A558A">
        <w:rPr>
          <w:lang w:val="it-IT"/>
        </w:rPr>
        <w:t>28</w:t>
      </w:r>
      <w:r w:rsidR="00DD3ED5" w:rsidRPr="000A558A">
        <w:rPr>
          <w:lang w:val="it-IT"/>
        </w:rPr>
        <w:t>.  </w:t>
      </w:r>
      <w:r w:rsidRPr="009A371F">
        <w:rPr>
          <w:lang w:val="it-IT"/>
        </w:rPr>
        <w:t>La Co</w:t>
      </w:r>
      <w:r w:rsidR="005234D4" w:rsidRPr="009A371F">
        <w:rPr>
          <w:lang w:val="it-IT"/>
        </w:rPr>
        <w:t xml:space="preserve">rte ha ritenuto che </w:t>
      </w:r>
      <w:r w:rsidRPr="009A371F">
        <w:rPr>
          <w:lang w:val="it-IT"/>
        </w:rPr>
        <w:t>u</w:t>
      </w:r>
      <w:r w:rsidR="005234D4" w:rsidRPr="009A371F">
        <w:rPr>
          <w:lang w:val="it-IT"/>
        </w:rPr>
        <w:t xml:space="preserve">n tale legame esistesse per quanto riguarda l’attribuzione di alcuni </w:t>
      </w:r>
      <w:r w:rsidR="009A371F" w:rsidRPr="009A371F">
        <w:rPr>
          <w:lang w:val="it-IT"/>
        </w:rPr>
        <w:t xml:space="preserve">sussidi pubblici, </w:t>
      </w:r>
      <w:r w:rsidR="00EA3A84">
        <w:rPr>
          <w:lang w:val="it-IT"/>
        </w:rPr>
        <w:t>il</w:t>
      </w:r>
      <w:r w:rsidR="009A371F" w:rsidRPr="009A371F">
        <w:rPr>
          <w:lang w:val="it-IT"/>
        </w:rPr>
        <w:t xml:space="preserve"> cui </w:t>
      </w:r>
      <w:r w:rsidR="00EA3A84">
        <w:rPr>
          <w:rStyle w:val="sb8d990e2"/>
          <w:lang w:val="it-IT"/>
        </w:rPr>
        <w:t>riconoscimento</w:t>
      </w:r>
      <w:r w:rsidR="00EA3A84" w:rsidRPr="009A371F">
        <w:rPr>
          <w:rStyle w:val="sb8d990e2"/>
          <w:lang w:val="it-IT"/>
        </w:rPr>
        <w:t xml:space="preserve"> </w:t>
      </w:r>
      <w:r w:rsidR="005234D4" w:rsidRPr="009A371F">
        <w:rPr>
          <w:rStyle w:val="sb8d990e2"/>
          <w:lang w:val="it-IT"/>
        </w:rPr>
        <w:t xml:space="preserve">permetteva allo Stato di «testimoniare il suo rispetto per la vita familiare» </w:t>
      </w:r>
      <w:r w:rsidRPr="009A371F">
        <w:rPr>
          <w:lang w:val="it-IT"/>
        </w:rPr>
        <w:t>(</w:t>
      </w:r>
      <w:r w:rsidR="009A371F" w:rsidRPr="009A371F">
        <w:rPr>
          <w:lang w:val="it-IT"/>
        </w:rPr>
        <w:t>si vedano</w:t>
      </w:r>
      <w:r w:rsidRPr="009A371F">
        <w:rPr>
          <w:lang w:val="it-IT"/>
        </w:rPr>
        <w:t xml:space="preserve">, </w:t>
      </w:r>
      <w:r w:rsidR="009A371F" w:rsidRPr="009A371F">
        <w:rPr>
          <w:lang w:val="it-IT"/>
        </w:rPr>
        <w:t>a proposito dell’assegno per famiglia numerosa</w:t>
      </w:r>
      <w:r w:rsidRPr="009A371F">
        <w:rPr>
          <w:lang w:val="it-IT"/>
        </w:rPr>
        <w:t xml:space="preserve">, </w:t>
      </w:r>
      <w:proofErr w:type="spellStart"/>
      <w:r w:rsidRPr="009A371F">
        <w:rPr>
          <w:i/>
          <w:lang w:val="it-IT"/>
        </w:rPr>
        <w:t>Okpisz</w:t>
      </w:r>
      <w:proofErr w:type="spellEnd"/>
      <w:r w:rsidRPr="009A371F">
        <w:rPr>
          <w:lang w:val="it-IT"/>
        </w:rPr>
        <w:t xml:space="preserve"> </w:t>
      </w:r>
      <w:r w:rsidRPr="009A371F">
        <w:rPr>
          <w:i/>
          <w:lang w:val="it-IT"/>
        </w:rPr>
        <w:t>c.</w:t>
      </w:r>
      <w:r w:rsidR="00CA2ADB" w:rsidRPr="009A371F">
        <w:rPr>
          <w:i/>
          <w:lang w:val="it-IT"/>
        </w:rPr>
        <w:t xml:space="preserve"> </w:t>
      </w:r>
      <w:r w:rsidR="009A371F">
        <w:rPr>
          <w:i/>
          <w:lang w:val="it-IT"/>
        </w:rPr>
        <w:t>Germania</w:t>
      </w:r>
      <w:r w:rsidRPr="009A371F">
        <w:rPr>
          <w:lang w:val="it-IT"/>
        </w:rPr>
        <w:t>, n</w:t>
      </w:r>
      <w:r w:rsidR="009A371F">
        <w:rPr>
          <w:lang w:val="it-IT"/>
        </w:rPr>
        <w:t>.</w:t>
      </w:r>
      <w:r w:rsidR="00CA2ADB" w:rsidRPr="009A371F">
        <w:rPr>
          <w:lang w:val="it-IT"/>
        </w:rPr>
        <w:t xml:space="preserve"> </w:t>
      </w:r>
      <w:r w:rsidRPr="009A371F">
        <w:rPr>
          <w:lang w:val="it-IT"/>
        </w:rPr>
        <w:t>59140/00, §</w:t>
      </w:r>
      <w:r w:rsidR="009A371F">
        <w:rPr>
          <w:lang w:val="it-IT"/>
        </w:rPr>
        <w:t xml:space="preserve"> </w:t>
      </w:r>
      <w:r w:rsidRPr="009A371F">
        <w:rPr>
          <w:lang w:val="it-IT"/>
        </w:rPr>
        <w:t>32, 25</w:t>
      </w:r>
      <w:r w:rsidR="00CA2ADB" w:rsidRPr="009A371F">
        <w:rPr>
          <w:lang w:val="it-IT"/>
        </w:rPr>
        <w:t xml:space="preserve"> </w:t>
      </w:r>
      <w:r w:rsidR="009A371F">
        <w:rPr>
          <w:lang w:val="it-IT"/>
        </w:rPr>
        <w:t>ot</w:t>
      </w:r>
      <w:r w:rsidRPr="009A371F">
        <w:rPr>
          <w:lang w:val="it-IT"/>
        </w:rPr>
        <w:t xml:space="preserve">tobre 2005; </w:t>
      </w:r>
      <w:proofErr w:type="spellStart"/>
      <w:r w:rsidRPr="009A371F">
        <w:rPr>
          <w:i/>
          <w:lang w:val="it-IT"/>
        </w:rPr>
        <w:t>Niedzwiecki</w:t>
      </w:r>
      <w:proofErr w:type="spellEnd"/>
      <w:r w:rsidRPr="009A371F">
        <w:rPr>
          <w:lang w:val="it-IT"/>
        </w:rPr>
        <w:t xml:space="preserve"> </w:t>
      </w:r>
      <w:r w:rsidRPr="009A371F">
        <w:rPr>
          <w:i/>
          <w:lang w:val="it-IT"/>
        </w:rPr>
        <w:t>c.</w:t>
      </w:r>
      <w:r w:rsidR="00CA2ADB" w:rsidRPr="009A371F">
        <w:rPr>
          <w:i/>
          <w:lang w:val="it-IT"/>
        </w:rPr>
        <w:t xml:space="preserve"> </w:t>
      </w:r>
      <w:r w:rsidR="009A371F">
        <w:rPr>
          <w:i/>
          <w:lang w:val="it-IT"/>
        </w:rPr>
        <w:t>Germania</w:t>
      </w:r>
      <w:r w:rsidRPr="009A371F">
        <w:rPr>
          <w:lang w:val="it-IT"/>
        </w:rPr>
        <w:t>,</w:t>
      </w:r>
      <w:r w:rsidRPr="009A371F">
        <w:rPr>
          <w:i/>
          <w:lang w:val="it-IT"/>
        </w:rPr>
        <w:t xml:space="preserve"> </w:t>
      </w:r>
      <w:r w:rsidRPr="009A371F">
        <w:rPr>
          <w:lang w:val="it-IT"/>
        </w:rPr>
        <w:t>n</w:t>
      </w:r>
      <w:r w:rsidR="009A371F">
        <w:rPr>
          <w:lang w:val="it-IT"/>
        </w:rPr>
        <w:t>.</w:t>
      </w:r>
      <w:r w:rsidR="00CA2ADB" w:rsidRPr="009A371F">
        <w:rPr>
          <w:lang w:val="it-IT"/>
        </w:rPr>
        <w:t xml:space="preserve"> </w:t>
      </w:r>
      <w:r w:rsidRPr="009A371F">
        <w:rPr>
          <w:lang w:val="it-IT"/>
        </w:rPr>
        <w:t>58453/00, § 31, 25</w:t>
      </w:r>
      <w:r w:rsidR="009A371F">
        <w:rPr>
          <w:lang w:val="it-IT"/>
        </w:rPr>
        <w:t xml:space="preserve"> ot</w:t>
      </w:r>
      <w:r w:rsidRPr="009A371F">
        <w:rPr>
          <w:lang w:val="it-IT"/>
        </w:rPr>
        <w:t xml:space="preserve">tobre 2005; </w:t>
      </w:r>
      <w:proofErr w:type="spellStart"/>
      <w:r w:rsidRPr="009A371F">
        <w:rPr>
          <w:i/>
          <w:lang w:val="it-IT"/>
        </w:rPr>
        <w:t>Fawsie</w:t>
      </w:r>
      <w:proofErr w:type="spellEnd"/>
      <w:r w:rsidRPr="009A371F">
        <w:rPr>
          <w:i/>
          <w:lang w:val="it-IT"/>
        </w:rPr>
        <w:t xml:space="preserve"> c. Gr</w:t>
      </w:r>
      <w:r w:rsidR="009A371F">
        <w:rPr>
          <w:i/>
          <w:lang w:val="it-IT"/>
        </w:rPr>
        <w:t>ecia</w:t>
      </w:r>
      <w:r w:rsidRPr="009A371F">
        <w:rPr>
          <w:lang w:val="it-IT"/>
        </w:rPr>
        <w:t>, n</w:t>
      </w:r>
      <w:r w:rsidR="009A371F">
        <w:rPr>
          <w:lang w:val="it-IT"/>
        </w:rPr>
        <w:t>.</w:t>
      </w:r>
      <w:r w:rsidR="00CA2ADB" w:rsidRPr="009A371F">
        <w:rPr>
          <w:lang w:val="it-IT"/>
        </w:rPr>
        <w:t xml:space="preserve"> </w:t>
      </w:r>
      <w:r w:rsidRPr="009A371F">
        <w:rPr>
          <w:rStyle w:val="textcolumn"/>
          <w:lang w:val="it-IT"/>
        </w:rPr>
        <w:t>40080/07, § 28, 28</w:t>
      </w:r>
      <w:r w:rsidR="00CA2ADB" w:rsidRPr="009A371F">
        <w:rPr>
          <w:rStyle w:val="textcolumn"/>
          <w:lang w:val="it-IT"/>
        </w:rPr>
        <w:t xml:space="preserve"> </w:t>
      </w:r>
      <w:r w:rsidRPr="009A371F">
        <w:rPr>
          <w:rStyle w:val="textcolumn"/>
          <w:lang w:val="it-IT"/>
        </w:rPr>
        <w:t>o</w:t>
      </w:r>
      <w:r w:rsidR="009A371F">
        <w:rPr>
          <w:rStyle w:val="textcolumn"/>
          <w:lang w:val="it-IT"/>
        </w:rPr>
        <w:t>t</w:t>
      </w:r>
      <w:r w:rsidRPr="009A371F">
        <w:rPr>
          <w:rStyle w:val="textcolumn"/>
          <w:lang w:val="it-IT"/>
        </w:rPr>
        <w:t>tobre 2010; e</w:t>
      </w:r>
      <w:r w:rsidRPr="009A371F">
        <w:rPr>
          <w:lang w:val="it-IT"/>
        </w:rPr>
        <w:t xml:space="preserve"> </w:t>
      </w:r>
      <w:proofErr w:type="spellStart"/>
      <w:r w:rsidRPr="009A371F">
        <w:rPr>
          <w:i/>
          <w:lang w:val="it-IT"/>
        </w:rPr>
        <w:t>Saidoun</w:t>
      </w:r>
      <w:proofErr w:type="spellEnd"/>
      <w:r w:rsidRPr="009A371F">
        <w:rPr>
          <w:i/>
          <w:lang w:val="it-IT"/>
        </w:rPr>
        <w:t xml:space="preserve"> c.</w:t>
      </w:r>
      <w:r w:rsidR="009A371F">
        <w:rPr>
          <w:i/>
          <w:lang w:val="it-IT"/>
        </w:rPr>
        <w:t xml:space="preserve"> </w:t>
      </w:r>
      <w:r w:rsidRPr="009A371F">
        <w:rPr>
          <w:i/>
          <w:lang w:val="it-IT"/>
        </w:rPr>
        <w:t>Gr</w:t>
      </w:r>
      <w:r w:rsidR="009A371F">
        <w:rPr>
          <w:i/>
          <w:lang w:val="it-IT"/>
        </w:rPr>
        <w:t>ecia</w:t>
      </w:r>
      <w:r w:rsidRPr="009A371F">
        <w:rPr>
          <w:lang w:val="it-IT"/>
        </w:rPr>
        <w:t>, n</w:t>
      </w:r>
      <w:r w:rsidR="009A371F">
        <w:rPr>
          <w:lang w:val="it-IT"/>
        </w:rPr>
        <w:t>.</w:t>
      </w:r>
      <w:r w:rsidR="00CA2ADB" w:rsidRPr="009A371F">
        <w:rPr>
          <w:lang w:val="it-IT"/>
        </w:rPr>
        <w:t xml:space="preserve"> </w:t>
      </w:r>
      <w:r w:rsidRPr="009A371F">
        <w:rPr>
          <w:rStyle w:val="textcolumn"/>
          <w:lang w:val="it-IT"/>
        </w:rPr>
        <w:t>40083/07</w:t>
      </w:r>
      <w:r w:rsidRPr="009A371F">
        <w:rPr>
          <w:lang w:val="it-IT"/>
        </w:rPr>
        <w:t>, §</w:t>
      </w:r>
      <w:r w:rsidR="00CA2ADB" w:rsidRPr="009A371F">
        <w:rPr>
          <w:lang w:val="it-IT"/>
        </w:rPr>
        <w:t xml:space="preserve"> </w:t>
      </w:r>
      <w:r w:rsidRPr="009A371F">
        <w:rPr>
          <w:lang w:val="it-IT"/>
        </w:rPr>
        <w:t xml:space="preserve">29, </w:t>
      </w:r>
      <w:r w:rsidRPr="009A371F">
        <w:rPr>
          <w:rStyle w:val="textcolumn"/>
          <w:lang w:val="it-IT"/>
        </w:rPr>
        <w:t>28 o</w:t>
      </w:r>
      <w:r w:rsidR="002C6FBA">
        <w:rPr>
          <w:rStyle w:val="textcolumn"/>
          <w:lang w:val="it-IT"/>
        </w:rPr>
        <w:t>t</w:t>
      </w:r>
      <w:r w:rsidRPr="009A371F">
        <w:rPr>
          <w:rStyle w:val="textcolumn"/>
          <w:lang w:val="it-IT"/>
        </w:rPr>
        <w:t xml:space="preserve">tobre 2010; </w:t>
      </w:r>
      <w:r w:rsidR="002C6FBA">
        <w:rPr>
          <w:rStyle w:val="textcolumn"/>
          <w:lang w:val="it-IT"/>
        </w:rPr>
        <w:t xml:space="preserve">si vedano anche, a proposito </w:t>
      </w:r>
      <w:r w:rsidR="005157DD">
        <w:rPr>
          <w:rStyle w:val="textcolumn"/>
          <w:lang w:val="it-IT"/>
        </w:rPr>
        <w:t>di una indennità di congedo parentale</w:t>
      </w:r>
      <w:r w:rsidRPr="009A371F">
        <w:rPr>
          <w:lang w:val="it-IT"/>
        </w:rPr>
        <w:t>,</w:t>
      </w:r>
      <w:r w:rsidRPr="009A371F">
        <w:rPr>
          <w:rStyle w:val="textcolumn"/>
          <w:lang w:val="it-IT"/>
        </w:rPr>
        <w:t xml:space="preserve"> </w:t>
      </w:r>
      <w:proofErr w:type="spellStart"/>
      <w:r w:rsidRPr="009A371F">
        <w:rPr>
          <w:i/>
          <w:lang w:val="it-IT"/>
        </w:rPr>
        <w:t>Petrovic</w:t>
      </w:r>
      <w:proofErr w:type="spellEnd"/>
      <w:r w:rsidRPr="009A371F">
        <w:rPr>
          <w:i/>
          <w:lang w:val="it-IT"/>
        </w:rPr>
        <w:t xml:space="preserve"> c.</w:t>
      </w:r>
      <w:r w:rsidR="00CA2ADB" w:rsidRPr="009A371F">
        <w:rPr>
          <w:i/>
          <w:lang w:val="it-IT"/>
        </w:rPr>
        <w:t xml:space="preserve"> </w:t>
      </w:r>
      <w:r w:rsidRPr="009A371F">
        <w:rPr>
          <w:i/>
          <w:lang w:val="it-IT"/>
        </w:rPr>
        <w:t>Au</w:t>
      </w:r>
      <w:r w:rsidR="00EA3A84">
        <w:rPr>
          <w:i/>
          <w:lang w:val="it-IT"/>
        </w:rPr>
        <w:t>stria</w:t>
      </w:r>
      <w:r w:rsidRPr="009A371F">
        <w:rPr>
          <w:lang w:val="it-IT"/>
        </w:rPr>
        <w:t>, 27 mar</w:t>
      </w:r>
      <w:r w:rsidR="005157DD">
        <w:rPr>
          <w:lang w:val="it-IT"/>
        </w:rPr>
        <w:t>zo</w:t>
      </w:r>
      <w:r w:rsidRPr="009A371F">
        <w:rPr>
          <w:lang w:val="it-IT"/>
        </w:rPr>
        <w:t xml:space="preserve"> 1998, §§ 27-29, </w:t>
      </w:r>
      <w:proofErr w:type="spellStart"/>
      <w:r w:rsidRPr="009A371F">
        <w:rPr>
          <w:i/>
          <w:lang w:val="it-IT"/>
        </w:rPr>
        <w:t>Recueil</w:t>
      </w:r>
      <w:proofErr w:type="spellEnd"/>
      <w:r w:rsidRPr="009A371F">
        <w:rPr>
          <w:i/>
          <w:lang w:val="it-IT"/>
        </w:rPr>
        <w:t xml:space="preserve"> </w:t>
      </w:r>
      <w:r w:rsidRPr="009A371F">
        <w:rPr>
          <w:lang w:val="it-IT"/>
        </w:rPr>
        <w:t xml:space="preserve">1998-II; </w:t>
      </w:r>
      <w:r w:rsidR="005157DD">
        <w:rPr>
          <w:lang w:val="it-IT"/>
        </w:rPr>
        <w:t>a proposito di una prestazione di maternità</w:t>
      </w:r>
      <w:r w:rsidRPr="009A371F">
        <w:rPr>
          <w:lang w:val="it-IT"/>
        </w:rPr>
        <w:t xml:space="preserve">, </w:t>
      </w:r>
      <w:proofErr w:type="spellStart"/>
      <w:r w:rsidRPr="009A371F">
        <w:rPr>
          <w:i/>
          <w:lang w:val="it-IT"/>
        </w:rPr>
        <w:t>Weller</w:t>
      </w:r>
      <w:proofErr w:type="spellEnd"/>
      <w:r w:rsidRPr="009A371F">
        <w:rPr>
          <w:i/>
          <w:lang w:val="it-IT"/>
        </w:rPr>
        <w:t xml:space="preserve"> c.</w:t>
      </w:r>
      <w:r w:rsidR="00CA2ADB" w:rsidRPr="009A371F">
        <w:rPr>
          <w:i/>
          <w:lang w:val="it-IT"/>
        </w:rPr>
        <w:t xml:space="preserve"> </w:t>
      </w:r>
      <w:r w:rsidR="005157DD">
        <w:rPr>
          <w:i/>
          <w:lang w:val="it-IT"/>
        </w:rPr>
        <w:t>Ungheria</w:t>
      </w:r>
      <w:r w:rsidRPr="009A371F">
        <w:rPr>
          <w:lang w:val="it-IT"/>
        </w:rPr>
        <w:t>, n</w:t>
      </w:r>
      <w:r w:rsidR="005157DD">
        <w:rPr>
          <w:lang w:val="it-IT"/>
        </w:rPr>
        <w:t>.</w:t>
      </w:r>
      <w:r w:rsidR="00CA2ADB" w:rsidRPr="009A371F">
        <w:rPr>
          <w:lang w:val="it-IT"/>
        </w:rPr>
        <w:t xml:space="preserve"> </w:t>
      </w:r>
      <w:r w:rsidRPr="009A371F">
        <w:rPr>
          <w:rStyle w:val="textcolumn"/>
          <w:lang w:val="it-IT"/>
        </w:rPr>
        <w:t>44399/05</w:t>
      </w:r>
      <w:r w:rsidRPr="009A371F">
        <w:rPr>
          <w:lang w:val="it-IT"/>
        </w:rPr>
        <w:t>, §</w:t>
      </w:r>
      <w:r w:rsidR="00CA2ADB" w:rsidRPr="009A371F">
        <w:rPr>
          <w:lang w:val="it-IT"/>
        </w:rPr>
        <w:t xml:space="preserve"> </w:t>
      </w:r>
      <w:r w:rsidRPr="009A371F">
        <w:rPr>
          <w:lang w:val="it-IT"/>
        </w:rPr>
        <w:t>29, 31 mar</w:t>
      </w:r>
      <w:r w:rsidR="005157DD">
        <w:rPr>
          <w:lang w:val="it-IT"/>
        </w:rPr>
        <w:t>zo</w:t>
      </w:r>
      <w:r w:rsidRPr="009A371F">
        <w:rPr>
          <w:lang w:val="it-IT"/>
        </w:rPr>
        <w:t xml:space="preserve"> 2009; e, </w:t>
      </w:r>
      <w:r w:rsidR="005157DD">
        <w:rPr>
          <w:lang w:val="it-IT"/>
        </w:rPr>
        <w:t>a proposito di una indennità di assistenza a domicilio</w:t>
      </w:r>
      <w:r w:rsidRPr="009A371F">
        <w:rPr>
          <w:lang w:val="it-IT"/>
        </w:rPr>
        <w:t xml:space="preserve">, </w:t>
      </w:r>
      <w:r w:rsidRPr="009A371F">
        <w:rPr>
          <w:i/>
          <w:lang w:val="it-IT"/>
        </w:rPr>
        <w:t>McDonald c. R</w:t>
      </w:r>
      <w:r w:rsidR="005157DD">
        <w:rPr>
          <w:i/>
          <w:lang w:val="it-IT"/>
        </w:rPr>
        <w:t>egno Unito</w:t>
      </w:r>
      <w:r w:rsidRPr="009A371F">
        <w:rPr>
          <w:lang w:val="it-IT"/>
        </w:rPr>
        <w:t>, n</w:t>
      </w:r>
      <w:r w:rsidR="005157DD">
        <w:rPr>
          <w:lang w:val="it-IT"/>
        </w:rPr>
        <w:t xml:space="preserve">. </w:t>
      </w:r>
      <w:r w:rsidRPr="009A371F">
        <w:rPr>
          <w:rStyle w:val="column01"/>
          <w:lang w:val="it-IT"/>
        </w:rPr>
        <w:t>4241/12, § 47, 20 ma</w:t>
      </w:r>
      <w:r w:rsidR="005157DD">
        <w:rPr>
          <w:rStyle w:val="column01"/>
          <w:lang w:val="it-IT"/>
        </w:rPr>
        <w:t>ggio</w:t>
      </w:r>
      <w:r w:rsidRPr="009A371F">
        <w:rPr>
          <w:rStyle w:val="column01"/>
          <w:lang w:val="it-IT"/>
        </w:rPr>
        <w:t xml:space="preserve"> 2014</w:t>
      </w:r>
      <w:r w:rsidRPr="009A371F">
        <w:rPr>
          <w:lang w:val="it-IT"/>
        </w:rPr>
        <w:t xml:space="preserve">). </w:t>
      </w:r>
      <w:r w:rsidRPr="002E6F68">
        <w:rPr>
          <w:lang w:val="it-IT"/>
        </w:rPr>
        <w:t>P</w:t>
      </w:r>
      <w:r w:rsidR="005157DD" w:rsidRPr="002E6F68">
        <w:rPr>
          <w:lang w:val="it-IT"/>
        </w:rPr>
        <w:t xml:space="preserve">er giungere a questa </w:t>
      </w:r>
      <w:r w:rsidR="005157DD" w:rsidRPr="002E6F68">
        <w:rPr>
          <w:lang w:val="it-IT"/>
        </w:rPr>
        <w:lastRenderedPageBreak/>
        <w:t xml:space="preserve">conclusione, la Corte ha esaminato la natura delle prestazioni in causa e le ripercussioni </w:t>
      </w:r>
      <w:r w:rsidR="002E6F68">
        <w:rPr>
          <w:lang w:val="it-IT"/>
        </w:rPr>
        <w:t>che il rifiuto di accordarle poteva avere sulla vita privata e famigliare degli interessati</w:t>
      </w:r>
      <w:r w:rsidRPr="002E6F68">
        <w:rPr>
          <w:lang w:val="it-IT"/>
        </w:rPr>
        <w:t>.</w:t>
      </w:r>
    </w:p>
    <w:p w:rsidR="008B3A45" w:rsidRPr="00170A5C" w:rsidRDefault="008B3A45" w:rsidP="004C6F7A">
      <w:pPr>
        <w:pStyle w:val="ECHRPara"/>
        <w:rPr>
          <w:lang w:val="it-IT"/>
        </w:rPr>
      </w:pPr>
      <w:r w:rsidRPr="000A558A">
        <w:rPr>
          <w:lang w:val="it-IT"/>
        </w:rPr>
        <w:t>29.  </w:t>
      </w:r>
      <w:r w:rsidR="002E6F68" w:rsidRPr="002E6F68">
        <w:rPr>
          <w:lang w:val="it-IT"/>
        </w:rPr>
        <w:t xml:space="preserve">Ritornando sui fatti della presente causa, la Corte considera che le somme che possono essere accordate dalla commissione </w:t>
      </w:r>
      <w:r w:rsidRPr="002E6F68">
        <w:rPr>
          <w:i/>
          <w:lang w:val="it-IT"/>
        </w:rPr>
        <w:t>ad hoc</w:t>
      </w:r>
      <w:r w:rsidRPr="002E6F68">
        <w:rPr>
          <w:lang w:val="it-IT"/>
        </w:rPr>
        <w:t xml:space="preserve"> </w:t>
      </w:r>
      <w:r w:rsidR="002E6F68" w:rsidRPr="002E6F68">
        <w:rPr>
          <w:lang w:val="it-IT"/>
        </w:rPr>
        <w:t>miravano, tra l’altro, a fornire ai ricorrenti i mezzi finanziari necessari per rimediare alle ripercussioni negative che l’inserimento nel programma di protezione aveva avuto sulla loro vita privata e famigliare</w:t>
      </w:r>
      <w:r w:rsidR="002E6F68">
        <w:rPr>
          <w:lang w:val="it-IT"/>
        </w:rPr>
        <w:t xml:space="preserve"> </w:t>
      </w:r>
      <w:r w:rsidR="002E6F68" w:rsidRPr="002E6F68">
        <w:rPr>
          <w:lang w:val="it-IT"/>
        </w:rPr>
        <w:t xml:space="preserve">e </w:t>
      </w:r>
      <w:r w:rsidR="002E6F68">
        <w:rPr>
          <w:lang w:val="it-IT"/>
        </w:rPr>
        <w:t>per agevolare il loro reinserimento sociale</w:t>
      </w:r>
      <w:r w:rsidRPr="002E6F68">
        <w:rPr>
          <w:lang w:val="it-IT"/>
        </w:rPr>
        <w:t xml:space="preserve">. </w:t>
      </w:r>
      <w:r w:rsidRPr="004C6F7A">
        <w:rPr>
          <w:lang w:val="it-IT"/>
        </w:rPr>
        <w:t>P</w:t>
      </w:r>
      <w:r w:rsidR="002E6F68" w:rsidRPr="004C6F7A">
        <w:rPr>
          <w:lang w:val="it-IT"/>
        </w:rPr>
        <w:t>eraltro, l’articolo</w:t>
      </w:r>
      <w:r w:rsidRPr="004C6F7A">
        <w:rPr>
          <w:lang w:val="it-IT"/>
        </w:rPr>
        <w:t xml:space="preserve"> 16</w:t>
      </w:r>
      <w:r w:rsidRPr="004C6F7A">
        <w:rPr>
          <w:i/>
          <w:lang w:val="it-IT"/>
        </w:rPr>
        <w:t xml:space="preserve">ter </w:t>
      </w:r>
      <w:r w:rsidRPr="004C6F7A">
        <w:rPr>
          <w:lang w:val="it-IT"/>
        </w:rPr>
        <w:t>b) de</w:t>
      </w:r>
      <w:r w:rsidR="002E6F68" w:rsidRPr="004C6F7A">
        <w:rPr>
          <w:lang w:val="it-IT"/>
        </w:rPr>
        <w:t>l</w:t>
      </w:r>
      <w:r w:rsidRPr="004C6F7A">
        <w:rPr>
          <w:lang w:val="it-IT"/>
        </w:rPr>
        <w:t>la l</w:t>
      </w:r>
      <w:r w:rsidR="002E6F68" w:rsidRPr="004C6F7A">
        <w:rPr>
          <w:lang w:val="it-IT"/>
        </w:rPr>
        <w:t>egge</w:t>
      </w:r>
      <w:r w:rsidRPr="004C6F7A">
        <w:rPr>
          <w:lang w:val="it-IT"/>
        </w:rPr>
        <w:t xml:space="preserve"> n</w:t>
      </w:r>
      <w:r w:rsidR="002E6F68" w:rsidRPr="004C6F7A">
        <w:rPr>
          <w:lang w:val="it-IT"/>
        </w:rPr>
        <w:t>.</w:t>
      </w:r>
      <w:r w:rsidRPr="004C6F7A">
        <w:rPr>
          <w:lang w:val="it-IT"/>
        </w:rPr>
        <w:t xml:space="preserve"> 82 de</w:t>
      </w:r>
      <w:r w:rsidR="002E6F68" w:rsidRPr="004C6F7A">
        <w:rPr>
          <w:lang w:val="it-IT"/>
        </w:rPr>
        <w:t>l</w:t>
      </w:r>
      <w:r w:rsidRPr="004C6F7A">
        <w:rPr>
          <w:lang w:val="it-IT"/>
        </w:rPr>
        <w:t xml:space="preserve"> 1991 indi</w:t>
      </w:r>
      <w:r w:rsidR="004C6F7A" w:rsidRPr="004C6F7A">
        <w:rPr>
          <w:lang w:val="it-IT"/>
        </w:rPr>
        <w:t xml:space="preserve">ca che le misure di assistenza </w:t>
      </w:r>
      <w:r w:rsidR="004C6F7A">
        <w:rPr>
          <w:lang w:val="it-IT"/>
        </w:rPr>
        <w:t>sono volte a</w:t>
      </w:r>
      <w:r w:rsidR="004C6F7A" w:rsidRPr="004C6F7A">
        <w:rPr>
          <w:lang w:val="it-IT"/>
        </w:rPr>
        <w:t xml:space="preserve"> </w:t>
      </w:r>
      <w:r w:rsidR="00170A5C">
        <w:rPr>
          <w:lang w:val="it-IT"/>
        </w:rPr>
        <w:t>«</w:t>
      </w:r>
      <w:r w:rsidR="004C6F7A" w:rsidRPr="004C6F7A">
        <w:rPr>
          <w:lang w:val="it-IT"/>
        </w:rPr>
        <w:t xml:space="preserve">garantire un </w:t>
      </w:r>
      <w:r w:rsidR="004C6F7A">
        <w:rPr>
          <w:lang w:val="it-IT"/>
        </w:rPr>
        <w:t>tenore</w:t>
      </w:r>
      <w:r w:rsidR="004C6F7A" w:rsidRPr="004C6F7A">
        <w:rPr>
          <w:lang w:val="it-IT"/>
        </w:rPr>
        <w:t xml:space="preserve"> di vita personale e famigliare non inferiore </w:t>
      </w:r>
      <w:r w:rsidR="004C6F7A">
        <w:rPr>
          <w:lang w:val="it-IT"/>
        </w:rPr>
        <w:t>a quello esistente prima dell’avvio del programma</w:t>
      </w:r>
      <w:r w:rsidRPr="004C6F7A">
        <w:rPr>
          <w:lang w:val="it-IT"/>
        </w:rPr>
        <w:t>» (paragra</w:t>
      </w:r>
      <w:r w:rsidR="00170A5C">
        <w:rPr>
          <w:lang w:val="it-IT"/>
        </w:rPr>
        <w:t>fo</w:t>
      </w:r>
      <w:r w:rsidRPr="004C6F7A">
        <w:rPr>
          <w:lang w:val="it-IT"/>
        </w:rPr>
        <w:t xml:space="preserve"> 6 </w:t>
      </w:r>
      <w:r w:rsidR="00170A5C">
        <w:rPr>
          <w:i/>
          <w:lang w:val="it-IT"/>
        </w:rPr>
        <w:t>supra</w:t>
      </w:r>
      <w:r w:rsidRPr="004C6F7A">
        <w:rPr>
          <w:lang w:val="it-IT"/>
        </w:rPr>
        <w:t xml:space="preserve">). </w:t>
      </w:r>
      <w:r w:rsidR="00170A5C">
        <w:rPr>
          <w:lang w:val="it-IT"/>
        </w:rPr>
        <w:t xml:space="preserve">Pertanto la Corte non può escludere l’esistenza di un legame diretto e immediato tra le indennità richieste e la vita privata e famigliare dei ricorrenti. </w:t>
      </w:r>
      <w:r w:rsidR="00170A5C" w:rsidRPr="00170A5C">
        <w:rPr>
          <w:lang w:val="it-IT"/>
        </w:rPr>
        <w:t>Essa ritiene, tuttavia, che non sia indispensabile esaminare tale questione poiché, anche a voler supporre che sia applicabile l’articolo 8 della Convenzione</w:t>
      </w:r>
      <w:r w:rsidRPr="00170A5C">
        <w:rPr>
          <w:lang w:val="it-IT"/>
        </w:rPr>
        <w:t xml:space="preserve">, </w:t>
      </w:r>
      <w:r w:rsidR="00170A5C" w:rsidRPr="00170A5C">
        <w:rPr>
          <w:lang w:val="it-IT"/>
        </w:rPr>
        <w:t>nel caso di specie non è ravvisabile alcuna apparenza di violazione di tale dispos</w:t>
      </w:r>
      <w:r w:rsidR="00170A5C">
        <w:rPr>
          <w:lang w:val="it-IT"/>
        </w:rPr>
        <w:t>i</w:t>
      </w:r>
      <w:r w:rsidR="00170A5C" w:rsidRPr="00170A5C">
        <w:rPr>
          <w:lang w:val="it-IT"/>
        </w:rPr>
        <w:t>zione</w:t>
      </w:r>
      <w:r w:rsidR="00170A5C">
        <w:rPr>
          <w:lang w:val="it-IT"/>
        </w:rPr>
        <w:t xml:space="preserve"> per i motivi seguenti</w:t>
      </w:r>
      <w:r w:rsidRPr="00170A5C">
        <w:rPr>
          <w:lang w:val="it-IT"/>
        </w:rPr>
        <w:t>.</w:t>
      </w:r>
    </w:p>
    <w:p w:rsidR="008B3A45" w:rsidRPr="000A558A" w:rsidRDefault="008B3A45" w:rsidP="0099548A">
      <w:pPr>
        <w:pStyle w:val="ECHRPara"/>
        <w:rPr>
          <w:lang w:val="it-IT"/>
        </w:rPr>
      </w:pPr>
      <w:r w:rsidRPr="000A558A">
        <w:rPr>
          <w:lang w:val="it-IT"/>
        </w:rPr>
        <w:t>30.  </w:t>
      </w:r>
      <w:r w:rsidRPr="008806FF">
        <w:rPr>
          <w:lang w:val="it-IT"/>
        </w:rPr>
        <w:t xml:space="preserve">La </w:t>
      </w:r>
      <w:r w:rsidR="006B6309" w:rsidRPr="008806FF">
        <w:rPr>
          <w:lang w:val="it-IT"/>
        </w:rPr>
        <w:t>Corte non sottovaluta le difficoltà, tra l’altro di natura e</w:t>
      </w:r>
      <w:r w:rsidR="008806FF" w:rsidRPr="008806FF">
        <w:rPr>
          <w:lang w:val="it-IT"/>
        </w:rPr>
        <w:t xml:space="preserve">conomica, che i ricorrenti hanno dovuto affrontare a causa del loro trasferimento in luoghi lontani e </w:t>
      </w:r>
      <w:r w:rsidR="008806FF">
        <w:rPr>
          <w:lang w:val="it-IT"/>
        </w:rPr>
        <w:t>segreti e della conseguente impossibilità di proseguire le loro attività commerciali nella provincia di Agrigento</w:t>
      </w:r>
      <w:r w:rsidRPr="008806FF">
        <w:rPr>
          <w:lang w:val="it-IT"/>
        </w:rPr>
        <w:t xml:space="preserve">. </w:t>
      </w:r>
      <w:r w:rsidRPr="00BF3E4E">
        <w:rPr>
          <w:lang w:val="it-IT"/>
        </w:rPr>
        <w:t>E</w:t>
      </w:r>
      <w:r w:rsidR="00BF3E4E" w:rsidRPr="00BF3E4E">
        <w:rPr>
          <w:lang w:val="it-IT"/>
        </w:rPr>
        <w:t>ssa osserva tuttavia che la commissione</w:t>
      </w:r>
      <w:r w:rsidRPr="00BF3E4E">
        <w:rPr>
          <w:lang w:val="it-IT"/>
        </w:rPr>
        <w:t xml:space="preserve"> </w:t>
      </w:r>
      <w:r w:rsidRPr="00BF3E4E">
        <w:rPr>
          <w:i/>
          <w:lang w:val="it-IT"/>
        </w:rPr>
        <w:t xml:space="preserve">ad hoc </w:t>
      </w:r>
      <w:r w:rsidR="00BF3E4E" w:rsidRPr="00BF3E4E">
        <w:rPr>
          <w:lang w:val="it-IT"/>
        </w:rPr>
        <w:t>h</w:t>
      </w:r>
      <w:r w:rsidRPr="00BF3E4E">
        <w:rPr>
          <w:lang w:val="it-IT"/>
        </w:rPr>
        <w:t xml:space="preserve">a </w:t>
      </w:r>
      <w:r w:rsidR="00BF3E4E" w:rsidRPr="00BF3E4E">
        <w:rPr>
          <w:lang w:val="it-IT"/>
        </w:rPr>
        <w:t xml:space="preserve">accordato agli interessati la somma di </w:t>
      </w:r>
      <w:r w:rsidRPr="00BF3E4E">
        <w:rPr>
          <w:lang w:val="it-IT"/>
        </w:rPr>
        <w:t>267</w:t>
      </w:r>
      <w:r w:rsidR="00BF3E4E" w:rsidRPr="00BF3E4E">
        <w:rPr>
          <w:lang w:val="it-IT"/>
        </w:rPr>
        <w:t>.</w:t>
      </w:r>
      <w:r w:rsidRPr="00BF3E4E">
        <w:rPr>
          <w:lang w:val="it-IT"/>
        </w:rPr>
        <w:t xml:space="preserve">400 EUR </w:t>
      </w:r>
      <w:r w:rsidR="00BF3E4E" w:rsidRPr="00BF3E4E">
        <w:rPr>
          <w:lang w:val="it-IT"/>
        </w:rPr>
        <w:t xml:space="preserve">a titolo di capitalizzazione del costo dell’assistenza e la somma di </w:t>
      </w:r>
      <w:r w:rsidRPr="00BF3E4E">
        <w:rPr>
          <w:lang w:val="it-IT"/>
        </w:rPr>
        <w:t>90</w:t>
      </w:r>
      <w:r w:rsidR="00BF3E4E" w:rsidRPr="00BF3E4E">
        <w:rPr>
          <w:lang w:val="it-IT"/>
        </w:rPr>
        <w:t>.</w:t>
      </w:r>
      <w:r w:rsidRPr="00BF3E4E">
        <w:rPr>
          <w:lang w:val="it-IT"/>
        </w:rPr>
        <w:t xml:space="preserve">796 EUR </w:t>
      </w:r>
      <w:r w:rsidR="00BF3E4E" w:rsidRPr="00BF3E4E">
        <w:rPr>
          <w:lang w:val="it-IT"/>
        </w:rPr>
        <w:t xml:space="preserve">per il danno biologico </w:t>
      </w:r>
      <w:r w:rsidRPr="00BF3E4E">
        <w:rPr>
          <w:lang w:val="it-IT"/>
        </w:rPr>
        <w:t>(paragra</w:t>
      </w:r>
      <w:r w:rsidR="00BF3E4E" w:rsidRPr="00BF3E4E">
        <w:rPr>
          <w:lang w:val="it-IT"/>
        </w:rPr>
        <w:t>fo</w:t>
      </w:r>
      <w:r w:rsidRPr="00BF3E4E">
        <w:rPr>
          <w:lang w:val="it-IT"/>
        </w:rPr>
        <w:t xml:space="preserve"> 9 </w:t>
      </w:r>
      <w:r w:rsidR="00BF3E4E" w:rsidRPr="00BF3E4E">
        <w:rPr>
          <w:i/>
          <w:lang w:val="it-IT"/>
        </w:rPr>
        <w:t>supra</w:t>
      </w:r>
      <w:r w:rsidRPr="00BF3E4E">
        <w:rPr>
          <w:lang w:val="it-IT"/>
        </w:rPr>
        <w:t xml:space="preserve">). </w:t>
      </w:r>
      <w:r w:rsidR="00BF3E4E" w:rsidRPr="00BF3E4E">
        <w:rPr>
          <w:lang w:val="it-IT"/>
        </w:rPr>
        <w:t xml:space="preserve">Secondo la Corte queste somme, considerati gli elementi esaminati dinanzi ai giudici nazionali, non possono essere </w:t>
      </w:r>
      <w:r w:rsidR="003172F1">
        <w:rPr>
          <w:lang w:val="it-IT"/>
        </w:rPr>
        <w:t>ritenute</w:t>
      </w:r>
      <w:r w:rsidR="00BF3E4E" w:rsidRPr="00BF3E4E">
        <w:rPr>
          <w:lang w:val="it-IT"/>
        </w:rPr>
        <w:t xml:space="preserve"> irrisorie, e sembrano invece sufficienti per permettere, o almeno per agevolare, il reinserimento sociale dei ricorrenti e dei loro figli.</w:t>
      </w:r>
      <w:r w:rsidRPr="000A558A">
        <w:rPr>
          <w:lang w:val="it-IT"/>
        </w:rPr>
        <w:t xml:space="preserve"> </w:t>
      </w:r>
      <w:r w:rsidR="000A558A" w:rsidRPr="000A558A">
        <w:rPr>
          <w:lang w:val="it-IT"/>
        </w:rPr>
        <w:t xml:space="preserve">È vero che la commissione </w:t>
      </w:r>
      <w:r w:rsidRPr="000A558A">
        <w:rPr>
          <w:i/>
          <w:lang w:val="it-IT"/>
        </w:rPr>
        <w:t xml:space="preserve">ad hoc </w:t>
      </w:r>
      <w:r w:rsidR="000A558A" w:rsidRPr="000A558A">
        <w:rPr>
          <w:lang w:val="it-IT"/>
        </w:rPr>
        <w:t>ha rifiutato di accordare una somma a titolo di mancato guadagno</w:t>
      </w:r>
      <w:r w:rsidRPr="000A558A">
        <w:rPr>
          <w:lang w:val="it-IT"/>
        </w:rPr>
        <w:t xml:space="preserve">; </w:t>
      </w:r>
      <w:r w:rsidR="000A558A" w:rsidRPr="000A558A">
        <w:rPr>
          <w:lang w:val="it-IT"/>
        </w:rPr>
        <w:t>tuttavia, come ha sottolineato il</w:t>
      </w:r>
      <w:r w:rsidRPr="000A558A">
        <w:rPr>
          <w:lang w:val="it-IT"/>
        </w:rPr>
        <w:t xml:space="preserve"> TAR, </w:t>
      </w:r>
      <w:r w:rsidR="000A558A" w:rsidRPr="000A558A">
        <w:rPr>
          <w:lang w:val="it-IT"/>
        </w:rPr>
        <w:t xml:space="preserve">tale decisione si giustificava con il fatto che gli interessati avevano lavorato </w:t>
      </w:r>
      <w:r w:rsidR="000A558A">
        <w:rPr>
          <w:lang w:val="it-IT"/>
        </w:rPr>
        <w:t>nella</w:t>
      </w:r>
      <w:r w:rsidRPr="000A558A">
        <w:rPr>
          <w:lang w:val="it-IT"/>
        </w:rPr>
        <w:t xml:space="preserve"> pizzeria </w:t>
      </w:r>
      <w:r w:rsidR="000A558A">
        <w:rPr>
          <w:lang w:val="it-IT"/>
        </w:rPr>
        <w:t>solo per cinque mesi, non avevano prodotto i documenti fiscali e contabili relativi alle loro attività commerciali</w:t>
      </w:r>
      <w:r w:rsidRPr="000A558A">
        <w:rPr>
          <w:lang w:val="it-IT"/>
        </w:rPr>
        <w:t xml:space="preserve"> (paragra</w:t>
      </w:r>
      <w:r w:rsidR="000A558A">
        <w:rPr>
          <w:lang w:val="it-IT"/>
        </w:rPr>
        <w:t>fo</w:t>
      </w:r>
      <w:r w:rsidRPr="000A558A">
        <w:rPr>
          <w:lang w:val="it-IT"/>
        </w:rPr>
        <w:t xml:space="preserve"> 13 </w:t>
      </w:r>
      <w:r w:rsidR="000A558A">
        <w:rPr>
          <w:i/>
          <w:lang w:val="it-IT"/>
        </w:rPr>
        <w:t>supra</w:t>
      </w:r>
      <w:r w:rsidRPr="000A558A">
        <w:rPr>
          <w:lang w:val="it-IT"/>
        </w:rPr>
        <w:t>) e</w:t>
      </w:r>
      <w:r w:rsidR="000A558A">
        <w:rPr>
          <w:lang w:val="it-IT"/>
        </w:rPr>
        <w:t xml:space="preserve"> i redditi dichiarati per il bar erano relativamente modesti </w:t>
      </w:r>
      <w:r w:rsidRPr="000A558A">
        <w:rPr>
          <w:lang w:val="it-IT"/>
        </w:rPr>
        <w:t>(paragra</w:t>
      </w:r>
      <w:r w:rsidR="000A558A">
        <w:rPr>
          <w:lang w:val="it-IT"/>
        </w:rPr>
        <w:t>fo</w:t>
      </w:r>
      <w:r w:rsidRPr="000A558A">
        <w:rPr>
          <w:lang w:val="it-IT"/>
        </w:rPr>
        <w:t xml:space="preserve"> 14 </w:t>
      </w:r>
      <w:r w:rsidR="000A558A">
        <w:rPr>
          <w:i/>
          <w:lang w:val="it-IT"/>
        </w:rPr>
        <w:t>supra</w:t>
      </w:r>
      <w:r w:rsidRPr="000A558A">
        <w:rPr>
          <w:lang w:val="it-IT"/>
        </w:rPr>
        <w:t xml:space="preserve">). </w:t>
      </w:r>
      <w:r w:rsidR="000A558A" w:rsidRPr="000A558A">
        <w:rPr>
          <w:lang w:val="it-IT"/>
        </w:rPr>
        <w:t xml:space="preserve">Inoltre, i ricorrenti sono stati associati al processo decisionale, essendo stati sentiti due volte dalla commissione </w:t>
      </w:r>
      <w:r w:rsidRPr="000A558A">
        <w:rPr>
          <w:i/>
          <w:lang w:val="it-IT"/>
        </w:rPr>
        <w:t>ad hoc</w:t>
      </w:r>
      <w:r w:rsidRPr="000A558A">
        <w:rPr>
          <w:lang w:val="it-IT"/>
        </w:rPr>
        <w:t xml:space="preserve"> e</w:t>
      </w:r>
      <w:r w:rsidR="000A558A" w:rsidRPr="000A558A">
        <w:rPr>
          <w:lang w:val="it-IT"/>
        </w:rPr>
        <w:t xml:space="preserve">d avendo </w:t>
      </w:r>
      <w:r w:rsidR="000A558A">
        <w:rPr>
          <w:lang w:val="it-IT"/>
        </w:rPr>
        <w:t xml:space="preserve">dunque </w:t>
      </w:r>
      <w:r w:rsidR="000A558A" w:rsidRPr="000A558A">
        <w:rPr>
          <w:lang w:val="it-IT"/>
        </w:rPr>
        <w:t xml:space="preserve">avuto </w:t>
      </w:r>
      <w:r w:rsidR="000A558A">
        <w:rPr>
          <w:lang w:val="it-IT"/>
        </w:rPr>
        <w:t>la possibilità di presentare i loro progetti di reinserimento sociale e nel mondo del lavoro</w:t>
      </w:r>
      <w:r w:rsidRPr="000A558A">
        <w:rPr>
          <w:lang w:val="it-IT"/>
        </w:rPr>
        <w:t xml:space="preserve"> (paragra</w:t>
      </w:r>
      <w:r w:rsidR="000A558A">
        <w:rPr>
          <w:lang w:val="it-IT"/>
        </w:rPr>
        <w:t>fo</w:t>
      </w:r>
      <w:r w:rsidRPr="000A558A">
        <w:rPr>
          <w:lang w:val="it-IT"/>
        </w:rPr>
        <w:t xml:space="preserve"> 12 </w:t>
      </w:r>
      <w:r w:rsidR="000A558A">
        <w:rPr>
          <w:i/>
          <w:lang w:val="it-IT"/>
        </w:rPr>
        <w:t>supra</w:t>
      </w:r>
      <w:r w:rsidRPr="000A558A">
        <w:rPr>
          <w:lang w:val="it-IT"/>
        </w:rPr>
        <w:t>).</w:t>
      </w:r>
    </w:p>
    <w:p w:rsidR="008B3A45" w:rsidRPr="009A18FA" w:rsidRDefault="008B3A45" w:rsidP="0099548A">
      <w:pPr>
        <w:pStyle w:val="ECHRPara"/>
        <w:rPr>
          <w:lang w:val="it-IT"/>
        </w:rPr>
      </w:pPr>
      <w:r w:rsidRPr="002D6C38">
        <w:rPr>
          <w:lang w:val="it-IT"/>
        </w:rPr>
        <w:t>31.  </w:t>
      </w:r>
      <w:r w:rsidR="000A558A" w:rsidRPr="000A558A">
        <w:rPr>
          <w:lang w:val="it-IT"/>
        </w:rPr>
        <w:t>In queste circostanze, la Corte non può concludere che le misure adottate dallo Stato allo scopo di garantire ai ricorrenti un rispetto effettivo della loro vita privata o famigliare a scapito del loro inserimento nel programma di protezione per i testimoni siano state manifestamente inadeguate o insufficienti</w:t>
      </w:r>
      <w:r w:rsidRPr="000A558A">
        <w:rPr>
          <w:lang w:val="it-IT"/>
        </w:rPr>
        <w:t xml:space="preserve">. </w:t>
      </w:r>
      <w:r w:rsidRPr="009A18FA">
        <w:rPr>
          <w:lang w:val="it-IT"/>
        </w:rPr>
        <w:t>Le</w:t>
      </w:r>
      <w:r w:rsidR="000A558A" w:rsidRPr="009A18FA">
        <w:rPr>
          <w:lang w:val="it-IT"/>
        </w:rPr>
        <w:t xml:space="preserve"> autorità italiane non sono giunte a conclusioni </w:t>
      </w:r>
      <w:r w:rsidR="000A558A" w:rsidRPr="009A18FA">
        <w:rPr>
          <w:lang w:val="it-IT"/>
        </w:rPr>
        <w:lastRenderedPageBreak/>
        <w:t xml:space="preserve">arbitrarie e non hanno </w:t>
      </w:r>
      <w:r w:rsidR="009A18FA">
        <w:rPr>
          <w:lang w:val="it-IT"/>
        </w:rPr>
        <w:t>super</w:t>
      </w:r>
      <w:r w:rsidR="000A558A" w:rsidRPr="009A18FA">
        <w:rPr>
          <w:lang w:val="it-IT"/>
        </w:rPr>
        <w:t>ato</w:t>
      </w:r>
      <w:r w:rsidR="009A18FA" w:rsidRPr="009A18FA">
        <w:rPr>
          <w:lang w:val="it-IT"/>
        </w:rPr>
        <w:t xml:space="preserve"> il margine di apprezzamento di cui godono in materia</w:t>
      </w:r>
      <w:r w:rsidRPr="009A18FA">
        <w:rPr>
          <w:lang w:val="it-IT"/>
        </w:rPr>
        <w:t>.</w:t>
      </w:r>
    </w:p>
    <w:p w:rsidR="008B3A45" w:rsidRPr="009A18FA" w:rsidRDefault="008B3A45" w:rsidP="0099548A">
      <w:pPr>
        <w:pStyle w:val="ECHRPara"/>
        <w:rPr>
          <w:lang w:val="it-IT"/>
        </w:rPr>
      </w:pPr>
      <w:r w:rsidRPr="002D6C38">
        <w:rPr>
          <w:snapToGrid w:val="0"/>
          <w:lang w:val="it-IT"/>
        </w:rPr>
        <w:t>32.  </w:t>
      </w:r>
      <w:r w:rsidR="009A18FA" w:rsidRPr="009A18FA">
        <w:rPr>
          <w:snapToGrid w:val="0"/>
          <w:lang w:val="it-IT"/>
        </w:rPr>
        <w:t xml:space="preserve">Di conseguenza il ricorso è manifestamente infondato e deve essere rigettato in applicazione dell’articolo </w:t>
      </w:r>
      <w:r w:rsidRPr="009A18FA">
        <w:rPr>
          <w:snapToGrid w:val="0"/>
          <w:lang w:val="it-IT"/>
        </w:rPr>
        <w:t>35 §§ 3</w:t>
      </w:r>
      <w:r w:rsidR="0099772D" w:rsidRPr="009A18FA">
        <w:rPr>
          <w:snapToGrid w:val="0"/>
          <w:lang w:val="it-IT"/>
        </w:rPr>
        <w:t xml:space="preserve"> </w:t>
      </w:r>
      <w:r w:rsidRPr="009A18FA">
        <w:rPr>
          <w:lang w:val="it-IT"/>
        </w:rPr>
        <w:t xml:space="preserve">a) </w:t>
      </w:r>
      <w:r w:rsidRPr="009A18FA">
        <w:rPr>
          <w:snapToGrid w:val="0"/>
          <w:lang w:val="it-IT"/>
        </w:rPr>
        <w:t>e 4 de</w:t>
      </w:r>
      <w:r w:rsidR="009A18FA" w:rsidRPr="009A18FA">
        <w:rPr>
          <w:snapToGrid w:val="0"/>
          <w:lang w:val="it-IT"/>
        </w:rPr>
        <w:t>l</w:t>
      </w:r>
      <w:r w:rsidRPr="009A18FA">
        <w:rPr>
          <w:snapToGrid w:val="0"/>
          <w:lang w:val="it-IT"/>
        </w:rPr>
        <w:t>la Conven</w:t>
      </w:r>
      <w:r w:rsidR="009A18FA" w:rsidRPr="009A18FA">
        <w:rPr>
          <w:snapToGrid w:val="0"/>
          <w:lang w:val="it-IT"/>
        </w:rPr>
        <w:t>zione</w:t>
      </w:r>
      <w:r w:rsidRPr="009A18FA">
        <w:rPr>
          <w:snapToGrid w:val="0"/>
          <w:lang w:val="it-IT"/>
        </w:rPr>
        <w:t>.</w:t>
      </w:r>
    </w:p>
    <w:p w:rsidR="008B3A45" w:rsidRPr="008513F8" w:rsidRDefault="008B3A45" w:rsidP="008B3A45">
      <w:pPr>
        <w:pStyle w:val="DecList"/>
        <w:keepNext/>
        <w:keepLines/>
        <w:rPr>
          <w:lang w:val="it-IT"/>
        </w:rPr>
      </w:pPr>
      <w:r w:rsidRPr="008513F8">
        <w:rPr>
          <w:lang w:val="it-IT"/>
        </w:rPr>
        <w:t>P</w:t>
      </w:r>
      <w:r w:rsidR="008513F8" w:rsidRPr="008513F8">
        <w:rPr>
          <w:lang w:val="it-IT"/>
        </w:rPr>
        <w:t>er questi motivi la Corte, all’unanimità</w:t>
      </w:r>
      <w:r w:rsidRPr="008513F8">
        <w:rPr>
          <w:lang w:val="it-IT"/>
        </w:rPr>
        <w:t>,</w:t>
      </w:r>
    </w:p>
    <w:p w:rsidR="008B3A45" w:rsidRPr="008513F8" w:rsidRDefault="008B3A45" w:rsidP="008B3A45">
      <w:pPr>
        <w:pStyle w:val="DecList"/>
        <w:keepNext/>
        <w:keepLines/>
        <w:rPr>
          <w:lang w:val="it-IT"/>
        </w:rPr>
      </w:pPr>
      <w:r w:rsidRPr="008513F8">
        <w:rPr>
          <w:i/>
          <w:lang w:val="it-IT"/>
        </w:rPr>
        <w:t>D</w:t>
      </w:r>
      <w:r w:rsidR="008513F8" w:rsidRPr="008513F8">
        <w:rPr>
          <w:i/>
          <w:lang w:val="it-IT"/>
        </w:rPr>
        <w:t>ichiara</w:t>
      </w:r>
      <w:r w:rsidRPr="008513F8">
        <w:rPr>
          <w:i/>
          <w:lang w:val="it-IT"/>
        </w:rPr>
        <w:t xml:space="preserve"> </w:t>
      </w:r>
      <w:r w:rsidR="008513F8" w:rsidRPr="008513F8">
        <w:rPr>
          <w:lang w:val="it-IT"/>
        </w:rPr>
        <w:t>il ricorso irricevibile</w:t>
      </w:r>
      <w:r w:rsidRPr="008513F8">
        <w:rPr>
          <w:lang w:val="it-IT"/>
        </w:rPr>
        <w:t>.</w:t>
      </w:r>
    </w:p>
    <w:p w:rsidR="006544C4" w:rsidRPr="008513F8" w:rsidRDefault="006544C4" w:rsidP="008B3A45">
      <w:pPr>
        <w:pStyle w:val="ECHRPara"/>
        <w:keepNext/>
        <w:keepLines/>
        <w:rPr>
          <w:sz w:val="2"/>
          <w:szCs w:val="2"/>
          <w:lang w:val="it-IT" w:eastAsia="en-GB"/>
        </w:rPr>
      </w:pPr>
    </w:p>
    <w:p w:rsidR="006F19B0" w:rsidRPr="008513F8" w:rsidRDefault="00F40988" w:rsidP="008B3A45">
      <w:pPr>
        <w:pStyle w:val="JuParaLast"/>
        <w:rPr>
          <w:lang w:val="it-IT"/>
        </w:rPr>
      </w:pPr>
      <w:r w:rsidRPr="008513F8">
        <w:rPr>
          <w:szCs w:val="24"/>
          <w:lang w:val="it-IT"/>
        </w:rPr>
        <w:t>Fa</w:t>
      </w:r>
      <w:r w:rsidR="008513F8" w:rsidRPr="008513F8">
        <w:rPr>
          <w:szCs w:val="24"/>
          <w:lang w:val="it-IT"/>
        </w:rPr>
        <w:t xml:space="preserve">tta in francese, poi comunicata per iscritto il 29 ottobre </w:t>
      </w:r>
      <w:r w:rsidR="008B3A45" w:rsidRPr="008513F8">
        <w:rPr>
          <w:lang w:val="it-IT"/>
        </w:rPr>
        <w:t>2015</w:t>
      </w:r>
      <w:r w:rsidRPr="008513F8">
        <w:rPr>
          <w:lang w:val="it-IT"/>
        </w:rPr>
        <w:t>.</w:t>
      </w:r>
    </w:p>
    <w:p w:rsidR="00234E8A" w:rsidRPr="008513F8" w:rsidRDefault="008B3A45" w:rsidP="0099772D">
      <w:pPr>
        <w:pStyle w:val="JuSigned"/>
        <w:keepNext/>
        <w:keepLines/>
        <w:rPr>
          <w:lang w:val="it-IT"/>
        </w:rPr>
      </w:pPr>
      <w:r w:rsidRPr="008513F8">
        <w:rPr>
          <w:lang w:val="it-IT"/>
        </w:rPr>
        <w:tab/>
      </w:r>
      <w:proofErr w:type="spellStart"/>
      <w:r w:rsidRPr="008513F8">
        <w:rPr>
          <w:lang w:val="it-IT"/>
        </w:rPr>
        <w:t>Fatoş</w:t>
      </w:r>
      <w:proofErr w:type="spellEnd"/>
      <w:r w:rsidRPr="008513F8">
        <w:rPr>
          <w:lang w:val="it-IT"/>
        </w:rPr>
        <w:t xml:space="preserve"> Aracı</w:t>
      </w:r>
      <w:r w:rsidR="006544C4" w:rsidRPr="008513F8">
        <w:rPr>
          <w:lang w:val="it-IT"/>
        </w:rPr>
        <w:tab/>
      </w:r>
      <w:proofErr w:type="spellStart"/>
      <w:r w:rsidRPr="008513F8">
        <w:rPr>
          <w:lang w:val="it-IT"/>
        </w:rPr>
        <w:t>Päivi</w:t>
      </w:r>
      <w:proofErr w:type="spellEnd"/>
      <w:r w:rsidRPr="008513F8">
        <w:rPr>
          <w:lang w:val="it-IT"/>
        </w:rPr>
        <w:t xml:space="preserve"> </w:t>
      </w:r>
      <w:proofErr w:type="spellStart"/>
      <w:r w:rsidRPr="008513F8">
        <w:rPr>
          <w:lang w:val="it-IT"/>
        </w:rPr>
        <w:t>Hirvelä</w:t>
      </w:r>
      <w:proofErr w:type="spellEnd"/>
      <w:r w:rsidR="006544C4" w:rsidRPr="008513F8">
        <w:rPr>
          <w:lang w:val="it-IT"/>
        </w:rPr>
        <w:br/>
      </w:r>
      <w:r w:rsidR="006544C4" w:rsidRPr="008513F8">
        <w:rPr>
          <w:lang w:val="it-IT"/>
        </w:rPr>
        <w:tab/>
      </w:r>
      <w:r w:rsidR="008513F8" w:rsidRPr="008513F8">
        <w:rPr>
          <w:lang w:val="it-IT"/>
        </w:rPr>
        <w:t>Cancelliere aggiunto</w:t>
      </w:r>
      <w:r w:rsidR="006544C4" w:rsidRPr="008513F8">
        <w:rPr>
          <w:lang w:val="it-IT"/>
        </w:rPr>
        <w:tab/>
      </w:r>
      <w:r w:rsidRPr="008513F8">
        <w:rPr>
          <w:lang w:val="it-IT"/>
        </w:rPr>
        <w:t>Pr</w:t>
      </w:r>
      <w:r w:rsidR="008513F8">
        <w:rPr>
          <w:lang w:val="it-IT"/>
        </w:rPr>
        <w:t>e</w:t>
      </w:r>
      <w:r w:rsidRPr="008513F8">
        <w:rPr>
          <w:lang w:val="it-IT"/>
        </w:rPr>
        <w:t>sidente</w:t>
      </w:r>
    </w:p>
    <w:sectPr w:rsidR="00234E8A" w:rsidRPr="008513F8" w:rsidSect="00AF7102">
      <w:headerReference w:type="even" r:id="rId12"/>
      <w:headerReference w:type="default" r:id="rId13"/>
      <w:headerReference w:type="first" r:id="rId14"/>
      <w:footerReference w:type="first" r:id="rId15"/>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9E6" w:rsidRDefault="00F219E6" w:rsidP="006544C4">
      <w:r>
        <w:separator/>
      </w:r>
    </w:p>
  </w:endnote>
  <w:endnote w:type="continuationSeparator" w:id="0">
    <w:p w:rsidR="00F219E6" w:rsidRDefault="00F219E6" w:rsidP="0065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ymbol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45" w:rsidRPr="00150BFA" w:rsidRDefault="008B3A45" w:rsidP="0020718E">
    <w:pPr>
      <w:jc w:val="center"/>
    </w:pPr>
    <w:r>
      <w:rPr>
        <w:noProof/>
        <w:lang w:val="it-IT" w:eastAsia="it-IT"/>
      </w:rPr>
      <w:drawing>
        <wp:inline distT="0" distB="0" distL="0" distR="0" wp14:anchorId="1F3BCA64" wp14:editId="53D0213D">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633A19" w:rsidRDefault="00F219E6" w:rsidP="003146E4">
    <w:pP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9E6" w:rsidRDefault="00F219E6" w:rsidP="006544C4">
      <w:r>
        <w:separator/>
      </w:r>
    </w:p>
  </w:footnote>
  <w:footnote w:type="continuationSeparator" w:id="0">
    <w:p w:rsidR="00F219E6" w:rsidRDefault="00F219E6" w:rsidP="0065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62" w:rsidRPr="009C4983" w:rsidRDefault="008B3A45" w:rsidP="003312A3">
    <w:pPr>
      <w:pStyle w:val="ECHRHeader"/>
      <w:rPr>
        <w:lang w:val="it-IT"/>
      </w:rPr>
    </w:pPr>
    <w:r>
      <w:rPr>
        <w:rStyle w:val="Numeropagina"/>
        <w:lang w:val="en-GB"/>
      </w:rPr>
      <w:fldChar w:fldCharType="begin"/>
    </w:r>
    <w:r w:rsidRPr="009C4983">
      <w:rPr>
        <w:rStyle w:val="Numeropagina"/>
        <w:lang w:val="it-IT"/>
      </w:rPr>
      <w:instrText xml:space="preserve"> PAGE </w:instrText>
    </w:r>
    <w:r>
      <w:rPr>
        <w:rStyle w:val="Numeropagina"/>
        <w:lang w:val="en-GB"/>
      </w:rPr>
      <w:fldChar w:fldCharType="separate"/>
    </w:r>
    <w:r w:rsidR="00633C28">
      <w:rPr>
        <w:rStyle w:val="Numeropagina"/>
        <w:noProof/>
        <w:lang w:val="it-IT"/>
      </w:rPr>
      <w:t>6</w:t>
    </w:r>
    <w:r>
      <w:rPr>
        <w:rStyle w:val="Numeropagina"/>
        <w:lang w:val="en-GB"/>
      </w:rPr>
      <w:fldChar w:fldCharType="end"/>
    </w:r>
    <w:r w:rsidR="00334EC5" w:rsidRPr="009C4983">
      <w:rPr>
        <w:lang w:val="it-IT"/>
      </w:rPr>
      <w:tab/>
      <w:t>D</w:t>
    </w:r>
    <w:r w:rsidR="009C4983" w:rsidRPr="009C4983">
      <w:rPr>
        <w:lang w:val="it-IT"/>
      </w:rPr>
      <w:t>ECISIONE</w:t>
    </w:r>
    <w:r w:rsidR="00334EC5" w:rsidRPr="009C4983">
      <w:rPr>
        <w:lang w:val="it-IT"/>
      </w:rPr>
      <w:t xml:space="preserve"> </w:t>
    </w:r>
    <w:r w:rsidRPr="009C4983">
      <w:rPr>
        <w:lang w:val="it-IT"/>
      </w:rPr>
      <w:t>A.C. E F.I. c. ITALI</w:t>
    </w:r>
    <w:r w:rsidR="009C4983">
      <w:rPr>
        <w:lang w:val="it-IT"/>
      </w:rPr>
      <w: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D62" w:rsidRPr="009C4983" w:rsidRDefault="00334EC5" w:rsidP="006544C4">
    <w:pPr>
      <w:pStyle w:val="ECHRHeader"/>
      <w:rPr>
        <w:lang w:val="it-IT"/>
      </w:rPr>
    </w:pPr>
    <w:r>
      <w:tab/>
    </w:r>
    <w:r w:rsidRPr="009C4983">
      <w:rPr>
        <w:lang w:val="it-IT"/>
      </w:rPr>
      <w:t>D</w:t>
    </w:r>
    <w:r w:rsidR="009C4983" w:rsidRPr="009C4983">
      <w:rPr>
        <w:lang w:val="it-IT"/>
      </w:rPr>
      <w:t>ECISIONE</w:t>
    </w:r>
    <w:r w:rsidRPr="009C4983">
      <w:rPr>
        <w:lang w:val="it-IT"/>
      </w:rPr>
      <w:t xml:space="preserve"> </w:t>
    </w:r>
    <w:r w:rsidR="008B3A45" w:rsidRPr="009C4983">
      <w:rPr>
        <w:lang w:val="it-IT"/>
      </w:rPr>
      <w:t>A.C. E F.I. c. ITALI</w:t>
    </w:r>
    <w:r w:rsidR="009C4983">
      <w:rPr>
        <w:lang w:val="it-IT"/>
      </w:rPr>
      <w:t>A</w:t>
    </w:r>
    <w:r w:rsidRPr="009C4983">
      <w:rPr>
        <w:lang w:val="it-IT"/>
      </w:rPr>
      <w:tab/>
    </w:r>
    <w:r w:rsidR="008B3A45">
      <w:rPr>
        <w:rStyle w:val="Numeropagina"/>
        <w:lang w:val="en-GB"/>
      </w:rPr>
      <w:fldChar w:fldCharType="begin"/>
    </w:r>
    <w:r w:rsidR="008B3A45" w:rsidRPr="009C4983">
      <w:rPr>
        <w:rStyle w:val="Numeropagina"/>
        <w:lang w:val="it-IT"/>
      </w:rPr>
      <w:instrText xml:space="preserve"> PAGE </w:instrText>
    </w:r>
    <w:r w:rsidR="008B3A45">
      <w:rPr>
        <w:rStyle w:val="Numeropagina"/>
        <w:lang w:val="en-GB"/>
      </w:rPr>
      <w:fldChar w:fldCharType="separate"/>
    </w:r>
    <w:r w:rsidR="00633C28">
      <w:rPr>
        <w:rStyle w:val="Numeropagina"/>
        <w:noProof/>
        <w:lang w:val="it-IT"/>
      </w:rPr>
      <w:t>5</w:t>
    </w:r>
    <w:r w:rsidR="008B3A45">
      <w:rPr>
        <w:rStyle w:val="Numeropagina"/>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4B" w:rsidRPr="001B4BF1" w:rsidRDefault="00375E4B" w:rsidP="00375E4B">
    <w:pPr>
      <w:rPr>
        <w:color w:val="000000"/>
        <w:sz w:val="18"/>
        <w:szCs w:val="18"/>
        <w:lang w:val="it-IT"/>
      </w:rPr>
    </w:pPr>
    <w:r>
      <w:rPr>
        <w:rFonts w:ascii="SymbolMT" w:hAnsi="SymbolMT" w:cs="SymbolMT"/>
        <w:color w:val="000000"/>
        <w:sz w:val="18"/>
        <w:szCs w:val="18"/>
        <w:lang w:val="it-IT"/>
      </w:rPr>
      <w:t xml:space="preserve">© </w:t>
    </w:r>
    <w:r>
      <w:rPr>
        <w:color w:val="000000"/>
        <w:sz w:val="18"/>
        <w:szCs w:val="18"/>
        <w:lang w:val="it-IT"/>
      </w:rPr>
      <w:t xml:space="preserve">Ministero della Giustizia, Direzione generale del contenzioso e dei diritti umani, traduzione eseguita dalla dott.ssa Martina </w:t>
    </w:r>
    <w:proofErr w:type="spellStart"/>
    <w:r>
      <w:rPr>
        <w:color w:val="000000"/>
        <w:sz w:val="18"/>
        <w:szCs w:val="18"/>
        <w:lang w:val="it-IT"/>
      </w:rPr>
      <w:t>Scantamburlo</w:t>
    </w:r>
    <w:proofErr w:type="spellEnd"/>
    <w:r>
      <w:rPr>
        <w:color w:val="000000"/>
        <w:sz w:val="18"/>
        <w:szCs w:val="18"/>
        <w:lang w:val="it-IT"/>
      </w:rPr>
      <w:t>, funzionario linguistico,</w:t>
    </w:r>
    <w:r w:rsidRPr="00D10ECA">
      <w:rPr>
        <w:color w:val="000000"/>
        <w:sz w:val="18"/>
        <w:szCs w:val="18"/>
        <w:lang w:val="it-IT"/>
      </w:rPr>
      <w:t xml:space="preserve"> </w:t>
    </w:r>
    <w:r>
      <w:rPr>
        <w:color w:val="000000"/>
        <w:sz w:val="18"/>
        <w:szCs w:val="18"/>
        <w:lang w:val="it-IT"/>
      </w:rPr>
      <w:t>e rivista con Rita Carnevali, assistente linguistico.</w:t>
    </w:r>
  </w:p>
  <w:p w:rsidR="00375E4B" w:rsidRPr="001B4BF1" w:rsidRDefault="00375E4B" w:rsidP="00375E4B">
    <w:pPr>
      <w:rPr>
        <w:color w:val="0000FF"/>
        <w:sz w:val="18"/>
        <w:szCs w:val="18"/>
        <w:lang w:val="it-IT"/>
      </w:rPr>
    </w:pPr>
  </w:p>
  <w:p w:rsidR="00375E4B" w:rsidRPr="00704BAD" w:rsidRDefault="00375E4B" w:rsidP="00375E4B">
    <w:pPr>
      <w:jc w:val="center"/>
      <w:rPr>
        <w:noProof/>
        <w:lang w:eastAsia="it-IT"/>
      </w:rPr>
    </w:pPr>
    <w:r>
      <w:rPr>
        <w:sz w:val="18"/>
        <w:szCs w:val="18"/>
      </w:rPr>
      <w:t>Permission to re-publish this translation has been granted by the Italian Ministry of Justice for the sole purpose of its inclusion in the Court's database HUDOC</w:t>
    </w:r>
  </w:p>
  <w:p w:rsidR="00375E4B" w:rsidRPr="00375E4B" w:rsidRDefault="00375E4B" w:rsidP="00A45145">
    <w:pPr>
      <w:jc w:val="center"/>
      <w:rPr>
        <w:noProof/>
        <w:lang w:eastAsia="it-IT"/>
      </w:rPr>
    </w:pPr>
  </w:p>
  <w:p w:rsidR="008B3A45" w:rsidRPr="00A45145" w:rsidRDefault="008B3A45" w:rsidP="00A45145">
    <w:pPr>
      <w:jc w:val="center"/>
    </w:pPr>
    <w:r>
      <w:rPr>
        <w:noProof/>
        <w:lang w:val="it-IT" w:eastAsia="it-IT"/>
      </w:rPr>
      <w:drawing>
        <wp:inline distT="0" distB="0" distL="0" distR="0" wp14:anchorId="2B3678DC" wp14:editId="63C7653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Default="00F219E6" w:rsidP="003146E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7"/>
  </w:num>
  <w:num w:numId="2">
    <w:abstractNumId w:val="6"/>
  </w:num>
  <w:num w:numId="3">
    <w:abstractNumId w:val="10"/>
  </w:num>
  <w:num w:numId="4">
    <w:abstractNumId w:val="11"/>
  </w:num>
  <w:num w:numId="5">
    <w:abstractNumId w:val="13"/>
  </w:num>
  <w:num w:numId="6">
    <w:abstractNumId w:val="9"/>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AppNatAutre" w:val="0"/>
    <w:docVar w:name="DocVarPREMATURE" w:val="0"/>
    <w:docVar w:name="EMM" w:val="0"/>
    <w:docVar w:name="ETRANSMISSION" w:val="PAR VOIE ÉLECTRONIQUE UNIQUEMENT"/>
    <w:docVar w:name="L4_1Annex" w:val="0"/>
    <w:docVar w:name="L4_1Anonymity" w:val="0"/>
    <w:docVar w:name="NBEMMDOC" w:val="0"/>
    <w:docVar w:name="Plural" w:val="1"/>
    <w:docVar w:name="SignForeName" w:val="0"/>
  </w:docVars>
  <w:rsids>
    <w:rsidRoot w:val="008B3A45"/>
    <w:rsid w:val="000041F8"/>
    <w:rsid w:val="000042A8"/>
    <w:rsid w:val="00004308"/>
    <w:rsid w:val="00005BF0"/>
    <w:rsid w:val="00007154"/>
    <w:rsid w:val="000103AE"/>
    <w:rsid w:val="000114DB"/>
    <w:rsid w:val="00011D69"/>
    <w:rsid w:val="00012AD3"/>
    <w:rsid w:val="00015C2D"/>
    <w:rsid w:val="00015F00"/>
    <w:rsid w:val="00022C1D"/>
    <w:rsid w:val="00034987"/>
    <w:rsid w:val="000602DF"/>
    <w:rsid w:val="00061B05"/>
    <w:rsid w:val="000632D5"/>
    <w:rsid w:val="000644EE"/>
    <w:rsid w:val="00066B1C"/>
    <w:rsid w:val="000925AD"/>
    <w:rsid w:val="000A24EB"/>
    <w:rsid w:val="000A558A"/>
    <w:rsid w:val="000B6923"/>
    <w:rsid w:val="000C5F3C"/>
    <w:rsid w:val="000C6DCC"/>
    <w:rsid w:val="000D3DC2"/>
    <w:rsid w:val="000D47AA"/>
    <w:rsid w:val="000D721F"/>
    <w:rsid w:val="000E069B"/>
    <w:rsid w:val="000E0E82"/>
    <w:rsid w:val="000E1DC5"/>
    <w:rsid w:val="000E223F"/>
    <w:rsid w:val="000E7D45"/>
    <w:rsid w:val="000F7851"/>
    <w:rsid w:val="00104E23"/>
    <w:rsid w:val="00111B0C"/>
    <w:rsid w:val="00120D6C"/>
    <w:rsid w:val="001257EC"/>
    <w:rsid w:val="00132AD7"/>
    <w:rsid w:val="00133D33"/>
    <w:rsid w:val="00134D64"/>
    <w:rsid w:val="00135A30"/>
    <w:rsid w:val="0013612C"/>
    <w:rsid w:val="00137FF6"/>
    <w:rsid w:val="00141650"/>
    <w:rsid w:val="001570CA"/>
    <w:rsid w:val="00162A12"/>
    <w:rsid w:val="00166530"/>
    <w:rsid w:val="0016678F"/>
    <w:rsid w:val="00170A5C"/>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33FA"/>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2D28"/>
    <w:rsid w:val="0026540E"/>
    <w:rsid w:val="00275123"/>
    <w:rsid w:val="00282240"/>
    <w:rsid w:val="002948AD"/>
    <w:rsid w:val="002A01CC"/>
    <w:rsid w:val="002A61B1"/>
    <w:rsid w:val="002A663C"/>
    <w:rsid w:val="002B444B"/>
    <w:rsid w:val="002B4FF9"/>
    <w:rsid w:val="002B5887"/>
    <w:rsid w:val="002C0E27"/>
    <w:rsid w:val="002C3040"/>
    <w:rsid w:val="002C6FBA"/>
    <w:rsid w:val="002D022D"/>
    <w:rsid w:val="002D24BB"/>
    <w:rsid w:val="002D6C38"/>
    <w:rsid w:val="002D7188"/>
    <w:rsid w:val="002E6F68"/>
    <w:rsid w:val="002F2AF7"/>
    <w:rsid w:val="002F7E1C"/>
    <w:rsid w:val="00301A75"/>
    <w:rsid w:val="00302F70"/>
    <w:rsid w:val="0030336F"/>
    <w:rsid w:val="0030375E"/>
    <w:rsid w:val="00312A30"/>
    <w:rsid w:val="003172F1"/>
    <w:rsid w:val="00320F72"/>
    <w:rsid w:val="0032463E"/>
    <w:rsid w:val="00326224"/>
    <w:rsid w:val="003312A3"/>
    <w:rsid w:val="00334EC5"/>
    <w:rsid w:val="00337EE4"/>
    <w:rsid w:val="00340FFD"/>
    <w:rsid w:val="003506B1"/>
    <w:rsid w:val="00356AC7"/>
    <w:rsid w:val="003609FA"/>
    <w:rsid w:val="003710C8"/>
    <w:rsid w:val="003750BE"/>
    <w:rsid w:val="00375E4B"/>
    <w:rsid w:val="00381AF0"/>
    <w:rsid w:val="00387B9D"/>
    <w:rsid w:val="0039055E"/>
    <w:rsid w:val="0039364F"/>
    <w:rsid w:val="00396686"/>
    <w:rsid w:val="0039778E"/>
    <w:rsid w:val="003B0E03"/>
    <w:rsid w:val="003B4941"/>
    <w:rsid w:val="003C5714"/>
    <w:rsid w:val="003C6B9F"/>
    <w:rsid w:val="003C6E2A"/>
    <w:rsid w:val="003D0299"/>
    <w:rsid w:val="003E6D80"/>
    <w:rsid w:val="003E747B"/>
    <w:rsid w:val="003F05FA"/>
    <w:rsid w:val="003F244A"/>
    <w:rsid w:val="003F30B8"/>
    <w:rsid w:val="003F4C45"/>
    <w:rsid w:val="003F5F7B"/>
    <w:rsid w:val="003F7D64"/>
    <w:rsid w:val="004007EF"/>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C6F7A"/>
    <w:rsid w:val="004D15F3"/>
    <w:rsid w:val="004D5311"/>
    <w:rsid w:val="004D5DCC"/>
    <w:rsid w:val="004F10AF"/>
    <w:rsid w:val="004F11A4"/>
    <w:rsid w:val="004F2389"/>
    <w:rsid w:val="004F304D"/>
    <w:rsid w:val="004F61BE"/>
    <w:rsid w:val="004F66B1"/>
    <w:rsid w:val="00511C07"/>
    <w:rsid w:val="005136FE"/>
    <w:rsid w:val="005157DD"/>
    <w:rsid w:val="005173A6"/>
    <w:rsid w:val="00520BAA"/>
    <w:rsid w:val="005234D4"/>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3C28"/>
    <w:rsid w:val="006344E1"/>
    <w:rsid w:val="006544C4"/>
    <w:rsid w:val="006545C4"/>
    <w:rsid w:val="00654AAE"/>
    <w:rsid w:val="00656E34"/>
    <w:rsid w:val="00661971"/>
    <w:rsid w:val="00661CE8"/>
    <w:rsid w:val="006623D9"/>
    <w:rsid w:val="0066550C"/>
    <w:rsid w:val="006716F2"/>
    <w:rsid w:val="00682BF2"/>
    <w:rsid w:val="006859CE"/>
    <w:rsid w:val="00691270"/>
    <w:rsid w:val="00694BA8"/>
    <w:rsid w:val="006A037C"/>
    <w:rsid w:val="006A36F4"/>
    <w:rsid w:val="006A406F"/>
    <w:rsid w:val="006A5D3A"/>
    <w:rsid w:val="006B6309"/>
    <w:rsid w:val="006C23D4"/>
    <w:rsid w:val="006C7BB0"/>
    <w:rsid w:val="006D3237"/>
    <w:rsid w:val="006E2E37"/>
    <w:rsid w:val="006E3CF1"/>
    <w:rsid w:val="006E684C"/>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16B6"/>
    <w:rsid w:val="007931F2"/>
    <w:rsid w:val="00793366"/>
    <w:rsid w:val="00795BD4"/>
    <w:rsid w:val="007A716F"/>
    <w:rsid w:val="007B270A"/>
    <w:rsid w:val="007C0695"/>
    <w:rsid w:val="007C2B70"/>
    <w:rsid w:val="007C419A"/>
    <w:rsid w:val="007C4CC8"/>
    <w:rsid w:val="007C5426"/>
    <w:rsid w:val="007C5798"/>
    <w:rsid w:val="007D4832"/>
    <w:rsid w:val="007E21B2"/>
    <w:rsid w:val="007E2C4E"/>
    <w:rsid w:val="007E3028"/>
    <w:rsid w:val="007F1905"/>
    <w:rsid w:val="00801300"/>
    <w:rsid w:val="00802C64"/>
    <w:rsid w:val="00805E52"/>
    <w:rsid w:val="008061D0"/>
    <w:rsid w:val="00810B38"/>
    <w:rsid w:val="008204C7"/>
    <w:rsid w:val="00820992"/>
    <w:rsid w:val="00823602"/>
    <w:rsid w:val="008255F5"/>
    <w:rsid w:val="0083014E"/>
    <w:rsid w:val="008319AC"/>
    <w:rsid w:val="0083214A"/>
    <w:rsid w:val="00834220"/>
    <w:rsid w:val="00845723"/>
    <w:rsid w:val="008513F8"/>
    <w:rsid w:val="00851EF9"/>
    <w:rsid w:val="008577FD"/>
    <w:rsid w:val="00860B03"/>
    <w:rsid w:val="0086497A"/>
    <w:rsid w:val="008713A1"/>
    <w:rsid w:val="008754AB"/>
    <w:rsid w:val="0088060C"/>
    <w:rsid w:val="008806FF"/>
    <w:rsid w:val="00886338"/>
    <w:rsid w:val="00893576"/>
    <w:rsid w:val="00893E73"/>
    <w:rsid w:val="008B02DC"/>
    <w:rsid w:val="008B3A45"/>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03C1"/>
    <w:rsid w:val="00934301"/>
    <w:rsid w:val="00934A97"/>
    <w:rsid w:val="00936CD1"/>
    <w:rsid w:val="00941747"/>
    <w:rsid w:val="00941EFB"/>
    <w:rsid w:val="00947AFB"/>
    <w:rsid w:val="00951D7D"/>
    <w:rsid w:val="0096124D"/>
    <w:rsid w:val="009630C7"/>
    <w:rsid w:val="00972B55"/>
    <w:rsid w:val="009743B7"/>
    <w:rsid w:val="00975A8D"/>
    <w:rsid w:val="00977DA8"/>
    <w:rsid w:val="0098228B"/>
    <w:rsid w:val="009828DA"/>
    <w:rsid w:val="00985BAB"/>
    <w:rsid w:val="0099772D"/>
    <w:rsid w:val="009A18FA"/>
    <w:rsid w:val="009A371F"/>
    <w:rsid w:val="009B1B5F"/>
    <w:rsid w:val="009B6673"/>
    <w:rsid w:val="009C191B"/>
    <w:rsid w:val="009C2BD6"/>
    <w:rsid w:val="009C4983"/>
    <w:rsid w:val="009E1F32"/>
    <w:rsid w:val="009E776C"/>
    <w:rsid w:val="00A1726E"/>
    <w:rsid w:val="00A204CF"/>
    <w:rsid w:val="00A23D49"/>
    <w:rsid w:val="00A27004"/>
    <w:rsid w:val="00A30C29"/>
    <w:rsid w:val="00A34DD6"/>
    <w:rsid w:val="00A36819"/>
    <w:rsid w:val="00A36989"/>
    <w:rsid w:val="00A43628"/>
    <w:rsid w:val="00A54192"/>
    <w:rsid w:val="00A6035E"/>
    <w:rsid w:val="00A6144C"/>
    <w:rsid w:val="00A639A6"/>
    <w:rsid w:val="00A66617"/>
    <w:rsid w:val="00A671F8"/>
    <w:rsid w:val="00A673A4"/>
    <w:rsid w:val="00A724AE"/>
    <w:rsid w:val="00A73329"/>
    <w:rsid w:val="00A82359"/>
    <w:rsid w:val="00A865D2"/>
    <w:rsid w:val="00A94C20"/>
    <w:rsid w:val="00AA227F"/>
    <w:rsid w:val="00AA3BC7"/>
    <w:rsid w:val="00AA754A"/>
    <w:rsid w:val="00AB099E"/>
    <w:rsid w:val="00AB4328"/>
    <w:rsid w:val="00AD4F05"/>
    <w:rsid w:val="00AE0A2E"/>
    <w:rsid w:val="00AE354C"/>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3A9C"/>
    <w:rsid w:val="00B54133"/>
    <w:rsid w:val="00B5543E"/>
    <w:rsid w:val="00B701ED"/>
    <w:rsid w:val="00B8086C"/>
    <w:rsid w:val="00B861B4"/>
    <w:rsid w:val="00B86DFE"/>
    <w:rsid w:val="00B87FB1"/>
    <w:rsid w:val="00B90990"/>
    <w:rsid w:val="00B922FF"/>
    <w:rsid w:val="00B9281E"/>
    <w:rsid w:val="00B93925"/>
    <w:rsid w:val="00B95187"/>
    <w:rsid w:val="00BA2D55"/>
    <w:rsid w:val="00BA71B1"/>
    <w:rsid w:val="00BB0637"/>
    <w:rsid w:val="00BB345F"/>
    <w:rsid w:val="00BB68EA"/>
    <w:rsid w:val="00BC1C27"/>
    <w:rsid w:val="00BC6BBF"/>
    <w:rsid w:val="00BD1572"/>
    <w:rsid w:val="00BD67B9"/>
    <w:rsid w:val="00BE14E3"/>
    <w:rsid w:val="00BE3774"/>
    <w:rsid w:val="00BE41E5"/>
    <w:rsid w:val="00BF3E4E"/>
    <w:rsid w:val="00BF4109"/>
    <w:rsid w:val="00BF4CC3"/>
    <w:rsid w:val="00C054C7"/>
    <w:rsid w:val="00C057B5"/>
    <w:rsid w:val="00C22687"/>
    <w:rsid w:val="00C32E4D"/>
    <w:rsid w:val="00C333A0"/>
    <w:rsid w:val="00C36408"/>
    <w:rsid w:val="00C36A81"/>
    <w:rsid w:val="00C41974"/>
    <w:rsid w:val="00C53F4A"/>
    <w:rsid w:val="00C54125"/>
    <w:rsid w:val="00C55B54"/>
    <w:rsid w:val="00C6098E"/>
    <w:rsid w:val="00C6152C"/>
    <w:rsid w:val="00C74810"/>
    <w:rsid w:val="00C84242"/>
    <w:rsid w:val="00C90D68"/>
    <w:rsid w:val="00C939FE"/>
    <w:rsid w:val="00CA1EE3"/>
    <w:rsid w:val="00CA2ADB"/>
    <w:rsid w:val="00CA4BDA"/>
    <w:rsid w:val="00CB1F66"/>
    <w:rsid w:val="00CB2951"/>
    <w:rsid w:val="00CB5729"/>
    <w:rsid w:val="00CC5862"/>
    <w:rsid w:val="00CD282B"/>
    <w:rsid w:val="00CD4C35"/>
    <w:rsid w:val="00CD6A13"/>
    <w:rsid w:val="00CD7369"/>
    <w:rsid w:val="00CE0B0E"/>
    <w:rsid w:val="00CE3831"/>
    <w:rsid w:val="00CE6ED9"/>
    <w:rsid w:val="00CF5D5F"/>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3398"/>
    <w:rsid w:val="00D566BD"/>
    <w:rsid w:val="00D57A4D"/>
    <w:rsid w:val="00D60AA7"/>
    <w:rsid w:val="00D614A2"/>
    <w:rsid w:val="00D6435F"/>
    <w:rsid w:val="00D75E28"/>
    <w:rsid w:val="00D772C2"/>
    <w:rsid w:val="00D8008E"/>
    <w:rsid w:val="00D82C45"/>
    <w:rsid w:val="00D908A8"/>
    <w:rsid w:val="00D977B6"/>
    <w:rsid w:val="00DA4A31"/>
    <w:rsid w:val="00DA7B04"/>
    <w:rsid w:val="00DB36C2"/>
    <w:rsid w:val="00DC169B"/>
    <w:rsid w:val="00DC2AB9"/>
    <w:rsid w:val="00DC63F0"/>
    <w:rsid w:val="00DD1945"/>
    <w:rsid w:val="00DD3ED5"/>
    <w:rsid w:val="00DD6EE5"/>
    <w:rsid w:val="00DE386C"/>
    <w:rsid w:val="00DE4D35"/>
    <w:rsid w:val="00DF098B"/>
    <w:rsid w:val="00DF1114"/>
    <w:rsid w:val="00DF11C4"/>
    <w:rsid w:val="00DF210C"/>
    <w:rsid w:val="00DF4B6A"/>
    <w:rsid w:val="00E02897"/>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3A84"/>
    <w:rsid w:val="00EA592A"/>
    <w:rsid w:val="00EB14E4"/>
    <w:rsid w:val="00EB32A5"/>
    <w:rsid w:val="00EB34ED"/>
    <w:rsid w:val="00EB7BE0"/>
    <w:rsid w:val="00EC0566"/>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9E6"/>
    <w:rsid w:val="00F21BC7"/>
    <w:rsid w:val="00F266A2"/>
    <w:rsid w:val="00F32269"/>
    <w:rsid w:val="00F40988"/>
    <w:rsid w:val="00F56A6F"/>
    <w:rsid w:val="00F5709C"/>
    <w:rsid w:val="00F64EF1"/>
    <w:rsid w:val="00F8765F"/>
    <w:rsid w:val="00F90767"/>
    <w:rsid w:val="00FA685B"/>
    <w:rsid w:val="00FB0C01"/>
    <w:rsid w:val="00FC18F2"/>
    <w:rsid w:val="00FC39E5"/>
    <w:rsid w:val="00FC3A78"/>
    <w:rsid w:val="00FD1005"/>
    <w:rsid w:val="00FD6C75"/>
    <w:rsid w:val="00FE02B1"/>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List Number" w:unhideWhenUsed="0"/>
    <w:lsdException w:name="List 4" w:unhideWhenUsed="0"/>
    <w:lsdException w:name="List 5" w:unhideWhenUsed="0"/>
    <w:lsdException w:name="List Number 5" w:uiPriority="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8B3A45"/>
    <w:pPr>
      <w:jc w:val="both"/>
    </w:pPr>
    <w:rPr>
      <w:rFonts w:eastAsiaTheme="minorEastAsia"/>
      <w:sz w:val="24"/>
    </w:rPr>
  </w:style>
  <w:style w:type="paragraph" w:styleId="Titolo1">
    <w:name w:val="heading 1"/>
    <w:basedOn w:val="Normale"/>
    <w:next w:val="Normale"/>
    <w:link w:val="Titolo1Carattere"/>
    <w:uiPriority w:val="99"/>
    <w:semiHidden/>
    <w:rsid w:val="008B3A45"/>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8B3A45"/>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8B3A45"/>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8B3A45"/>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8B3A45"/>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8B3A45"/>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8B3A45"/>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8B3A45"/>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8B3A45"/>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8B3A4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3A45"/>
    <w:rPr>
      <w:rFonts w:ascii="Tahoma" w:eastAsiaTheme="minorEastAsia" w:hAnsi="Tahoma" w:cs="Tahoma"/>
      <w:sz w:val="16"/>
      <w:szCs w:val="16"/>
    </w:rPr>
  </w:style>
  <w:style w:type="character" w:styleId="Titolodellibro">
    <w:name w:val="Book Title"/>
    <w:uiPriority w:val="99"/>
    <w:semiHidden/>
    <w:qFormat/>
    <w:rsid w:val="008B3A45"/>
    <w:rPr>
      <w:i/>
      <w:iCs/>
      <w:smallCaps/>
      <w:spacing w:val="5"/>
    </w:rPr>
  </w:style>
  <w:style w:type="paragraph" w:customStyle="1" w:styleId="ECHRHeader">
    <w:name w:val="ECHR_Header"/>
    <w:aliases w:val="Ju_Header"/>
    <w:basedOn w:val="Intestazione"/>
    <w:uiPriority w:val="4"/>
    <w:qFormat/>
    <w:rsid w:val="008B3A45"/>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8B3A45"/>
    <w:pPr>
      <w:jc w:val="left"/>
    </w:pPr>
    <w:rPr>
      <w:sz w:val="8"/>
    </w:rPr>
  </w:style>
  <w:style w:type="character" w:styleId="Enfasigrassetto">
    <w:name w:val="Strong"/>
    <w:uiPriority w:val="99"/>
    <w:semiHidden/>
    <w:qFormat/>
    <w:rsid w:val="008B3A45"/>
    <w:rPr>
      <w:b/>
      <w:bCs/>
    </w:rPr>
  </w:style>
  <w:style w:type="paragraph" w:styleId="Nessunaspaziatura">
    <w:name w:val="No Spacing"/>
    <w:basedOn w:val="Normale"/>
    <w:link w:val="NessunaspaziaturaCarattere"/>
    <w:semiHidden/>
    <w:qFormat/>
    <w:rsid w:val="008B3A45"/>
    <w:rPr>
      <w:sz w:val="22"/>
    </w:rPr>
  </w:style>
  <w:style w:type="character" w:customStyle="1" w:styleId="NessunaspaziaturaCarattere">
    <w:name w:val="Nessuna spaziatura Carattere"/>
    <w:basedOn w:val="Carpredefinitoparagrafo"/>
    <w:link w:val="Nessunaspaziatura"/>
    <w:semiHidden/>
    <w:rsid w:val="008B3A45"/>
    <w:rPr>
      <w:rFonts w:eastAsiaTheme="minorEastAsia"/>
    </w:rPr>
  </w:style>
  <w:style w:type="paragraph" w:customStyle="1" w:styleId="ECHRFooterLine">
    <w:name w:val="ECHR_Footer_Line"/>
    <w:aliases w:val="Footer_Line"/>
    <w:basedOn w:val="Normale"/>
    <w:next w:val="ECHRFooter"/>
    <w:uiPriority w:val="57"/>
    <w:semiHidden/>
    <w:rsid w:val="008B3A45"/>
    <w:pPr>
      <w:pBdr>
        <w:top w:val="single" w:sz="6" w:space="1" w:color="5F5F5F"/>
      </w:pBdr>
      <w:tabs>
        <w:tab w:val="center" w:pos="4536"/>
        <w:tab w:val="right" w:pos="9696"/>
      </w:tabs>
      <w:ind w:left="-680" w:right="-680"/>
      <w:jc w:val="left"/>
    </w:pPr>
    <w:rPr>
      <w:color w:val="5F5F5F"/>
    </w:rPr>
  </w:style>
  <w:style w:type="paragraph" w:customStyle="1" w:styleId="ECHRParaQuote">
    <w:name w:val="ECHR_Para_Quote"/>
    <w:aliases w:val="Ju_Quot"/>
    <w:basedOn w:val="Normale"/>
    <w:uiPriority w:val="14"/>
    <w:qFormat/>
    <w:rsid w:val="008B3A45"/>
    <w:pPr>
      <w:spacing w:before="120" w:after="120"/>
      <w:ind w:left="425" w:firstLine="142"/>
    </w:pPr>
    <w:rPr>
      <w:sz w:val="20"/>
    </w:rPr>
  </w:style>
  <w:style w:type="paragraph" w:customStyle="1" w:styleId="JuAppQuestion">
    <w:name w:val="Ju_App_Question"/>
    <w:basedOn w:val="Normale"/>
    <w:uiPriority w:val="5"/>
    <w:qFormat/>
    <w:rsid w:val="008B3A45"/>
    <w:pPr>
      <w:numPr>
        <w:numId w:val="14"/>
      </w:numPr>
      <w:jc w:val="left"/>
    </w:pPr>
    <w:rPr>
      <w:b/>
    </w:rPr>
  </w:style>
  <w:style w:type="paragraph" w:customStyle="1" w:styleId="OpiPara">
    <w:name w:val="Opi_Para"/>
    <w:basedOn w:val="ECHRPara"/>
    <w:uiPriority w:val="46"/>
    <w:semiHidden/>
    <w:qFormat/>
    <w:rsid w:val="008B3A45"/>
  </w:style>
  <w:style w:type="paragraph" w:customStyle="1" w:styleId="JuParaSub">
    <w:name w:val="Ju_Para_Sub"/>
    <w:basedOn w:val="ECHRPara"/>
    <w:uiPriority w:val="13"/>
    <w:qFormat/>
    <w:rsid w:val="008B3A45"/>
    <w:pPr>
      <w:ind w:left="284"/>
    </w:pPr>
  </w:style>
  <w:style w:type="paragraph" w:customStyle="1" w:styleId="OpiParaSub">
    <w:name w:val="Opi_Para_Sub"/>
    <w:basedOn w:val="JuParaSub"/>
    <w:uiPriority w:val="47"/>
    <w:semiHidden/>
    <w:qFormat/>
    <w:rsid w:val="008B3A45"/>
  </w:style>
  <w:style w:type="paragraph" w:customStyle="1" w:styleId="ECHRTitleCentre3">
    <w:name w:val="ECHR_Title_Centre_3"/>
    <w:aliases w:val="Ju_H_Article"/>
    <w:basedOn w:val="Normale"/>
    <w:next w:val="ECHRParaQuote"/>
    <w:uiPriority w:val="27"/>
    <w:qFormat/>
    <w:rsid w:val="008B3A45"/>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semiHidden/>
    <w:qFormat/>
    <w:rsid w:val="008B3A45"/>
    <w:pPr>
      <w:keepNext/>
      <w:keepLines/>
      <w:spacing w:after="240"/>
      <w:jc w:val="center"/>
      <w:outlineLvl w:val="0"/>
    </w:pPr>
    <w:rPr>
      <w:rFonts w:asciiTheme="majorHAnsi" w:hAnsiTheme="majorHAnsi"/>
      <w:sz w:val="28"/>
    </w:rPr>
  </w:style>
  <w:style w:type="paragraph" w:customStyle="1" w:styleId="OpiQuot">
    <w:name w:val="Opi_Quot"/>
    <w:basedOn w:val="ECHRParaQuote"/>
    <w:uiPriority w:val="48"/>
    <w:semiHidden/>
    <w:qFormat/>
    <w:rsid w:val="008B3A45"/>
  </w:style>
  <w:style w:type="paragraph" w:customStyle="1" w:styleId="ECHRTitle1">
    <w:name w:val="ECHR_Title_1"/>
    <w:aliases w:val="Ju_H_Head"/>
    <w:basedOn w:val="Normale"/>
    <w:next w:val="ECHRPara"/>
    <w:uiPriority w:val="18"/>
    <w:qFormat/>
    <w:rsid w:val="008B3A45"/>
    <w:pPr>
      <w:keepNext/>
      <w:keepLines/>
      <w:spacing w:before="720" w:after="240"/>
      <w:outlineLvl w:val="0"/>
    </w:pPr>
    <w:rPr>
      <w:rFonts w:asciiTheme="majorHAnsi" w:hAnsiTheme="majorHAnsi"/>
      <w:sz w:val="28"/>
    </w:rPr>
  </w:style>
  <w:style w:type="paragraph" w:customStyle="1" w:styleId="OpiQuotSub">
    <w:name w:val="Opi_Quot_Sub"/>
    <w:basedOn w:val="JuQuotSub"/>
    <w:uiPriority w:val="49"/>
    <w:semiHidden/>
    <w:qFormat/>
    <w:rsid w:val="008B3A45"/>
  </w:style>
  <w:style w:type="paragraph" w:styleId="Titolo">
    <w:name w:val="Title"/>
    <w:basedOn w:val="Normale"/>
    <w:next w:val="Normale"/>
    <w:link w:val="TitoloCarattere"/>
    <w:uiPriority w:val="99"/>
    <w:semiHidden/>
    <w:qFormat/>
    <w:rsid w:val="008B3A4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8B3A45"/>
    <w:rPr>
      <w:rFonts w:asciiTheme="majorHAnsi" w:eastAsiaTheme="majorEastAsia" w:hAnsiTheme="majorHAnsi" w:cstheme="majorBidi"/>
      <w:spacing w:val="5"/>
      <w:sz w:val="52"/>
      <w:szCs w:val="52"/>
      <w:lang w:bidi="en-US"/>
    </w:rPr>
  </w:style>
  <w:style w:type="paragraph" w:customStyle="1" w:styleId="JuCase">
    <w:name w:val="Ju_Case"/>
    <w:basedOn w:val="Normale"/>
    <w:next w:val="ECHRPara"/>
    <w:uiPriority w:val="10"/>
    <w:semiHidden/>
    <w:rsid w:val="008B3A45"/>
    <w:pPr>
      <w:ind w:firstLine="284"/>
    </w:pPr>
    <w:rPr>
      <w:b/>
    </w:rPr>
  </w:style>
  <w:style w:type="paragraph" w:customStyle="1" w:styleId="JuQuotSub">
    <w:name w:val="Ju_Quot_Sub"/>
    <w:basedOn w:val="ECHRParaQuote"/>
    <w:uiPriority w:val="15"/>
    <w:qFormat/>
    <w:rsid w:val="008B3A45"/>
    <w:pPr>
      <w:ind w:left="567"/>
    </w:pPr>
  </w:style>
  <w:style w:type="paragraph" w:customStyle="1" w:styleId="JuInitialled">
    <w:name w:val="Ju_Initialled"/>
    <w:basedOn w:val="Normale"/>
    <w:uiPriority w:val="31"/>
    <w:qFormat/>
    <w:rsid w:val="008B3A45"/>
    <w:pPr>
      <w:tabs>
        <w:tab w:val="center" w:pos="6407"/>
      </w:tabs>
      <w:spacing w:before="720"/>
      <w:jc w:val="right"/>
    </w:pPr>
  </w:style>
  <w:style w:type="paragraph" w:customStyle="1" w:styleId="OpiHA">
    <w:name w:val="Opi_H_A"/>
    <w:basedOn w:val="ECHRHeading1"/>
    <w:next w:val="OpiPara"/>
    <w:uiPriority w:val="41"/>
    <w:semiHidden/>
    <w:qFormat/>
    <w:rsid w:val="008B3A45"/>
    <w:pPr>
      <w:tabs>
        <w:tab w:val="clear" w:pos="357"/>
      </w:tabs>
      <w:outlineLvl w:val="1"/>
    </w:pPr>
    <w:rPr>
      <w:b/>
    </w:rPr>
  </w:style>
  <w:style w:type="character" w:customStyle="1" w:styleId="JUNAMES">
    <w:name w:val="JU_NAMES"/>
    <w:uiPriority w:val="17"/>
    <w:qFormat/>
    <w:rsid w:val="008B3A45"/>
    <w:rPr>
      <w:caps w:val="0"/>
      <w:smallCaps/>
    </w:rPr>
  </w:style>
  <w:style w:type="paragraph" w:customStyle="1" w:styleId="ECHRHeading1">
    <w:name w:val="ECHR_Heading_1"/>
    <w:aliases w:val="Ju_H_I_Roman"/>
    <w:basedOn w:val="Titolo1"/>
    <w:next w:val="ECHRPara"/>
    <w:uiPriority w:val="19"/>
    <w:qFormat/>
    <w:rsid w:val="008B3A45"/>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8B3A45"/>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8B3A45"/>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8B3A45"/>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8B3A45"/>
    <w:rPr>
      <w:sz w:val="24"/>
    </w:rPr>
  </w:style>
  <w:style w:type="character" w:customStyle="1" w:styleId="Titolo1Carattere">
    <w:name w:val="Titolo 1 Carattere"/>
    <w:basedOn w:val="Carpredefinitoparagrafo"/>
    <w:link w:val="Titolo1"/>
    <w:uiPriority w:val="99"/>
    <w:semiHidden/>
    <w:rsid w:val="008B3A45"/>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ECHRPara"/>
    <w:uiPriority w:val="22"/>
    <w:qFormat/>
    <w:rsid w:val="008B3A45"/>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8B3A45"/>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8B3A45"/>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ECHRPara"/>
    <w:uiPriority w:val="24"/>
    <w:qFormat/>
    <w:rsid w:val="008B3A45"/>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ECHRPara"/>
    <w:uiPriority w:val="25"/>
    <w:qFormat/>
    <w:rsid w:val="008B3A45"/>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8B3A45"/>
    <w:rPr>
      <w:rFonts w:asciiTheme="majorHAnsi" w:eastAsiaTheme="majorEastAsia" w:hAnsiTheme="majorHAnsi" w:cstheme="majorBidi"/>
      <w:b/>
      <w:bCs/>
      <w:color w:val="5F5F5F"/>
      <w:sz w:val="24"/>
    </w:rPr>
  </w:style>
  <w:style w:type="paragraph" w:customStyle="1" w:styleId="JuParaLast">
    <w:name w:val="Ju_Para_Last"/>
    <w:basedOn w:val="Normale"/>
    <w:next w:val="ECHRPara"/>
    <w:uiPriority w:val="30"/>
    <w:qFormat/>
    <w:rsid w:val="008B3A45"/>
    <w:pPr>
      <w:keepNext/>
      <w:keepLines/>
      <w:spacing w:before="240"/>
      <w:ind w:firstLine="284"/>
    </w:pPr>
  </w:style>
  <w:style w:type="paragraph" w:customStyle="1" w:styleId="DecList">
    <w:name w:val="Dec_List"/>
    <w:basedOn w:val="Normale"/>
    <w:uiPriority w:val="9"/>
    <w:qFormat/>
    <w:rsid w:val="008B3A45"/>
    <w:pPr>
      <w:spacing w:before="240"/>
      <w:ind w:left="284"/>
    </w:pPr>
  </w:style>
  <w:style w:type="character" w:customStyle="1" w:styleId="Titolo4Carattere">
    <w:name w:val="Titolo 4 Carattere"/>
    <w:basedOn w:val="Carpredefinitoparagrafo"/>
    <w:link w:val="Titolo4"/>
    <w:uiPriority w:val="99"/>
    <w:semiHidden/>
    <w:rsid w:val="008B3A45"/>
    <w:rPr>
      <w:rFonts w:asciiTheme="majorHAnsi" w:eastAsiaTheme="majorEastAsia" w:hAnsiTheme="majorHAnsi" w:cstheme="majorBidi"/>
      <w:b/>
      <w:bCs/>
      <w:i/>
      <w:iCs/>
      <w:color w:val="777777"/>
      <w:sz w:val="24"/>
    </w:rPr>
  </w:style>
  <w:style w:type="paragraph" w:customStyle="1" w:styleId="ECHRDecisionBody">
    <w:name w:val="ECHR_Decision_Body"/>
    <w:aliases w:val="Ju_Judges"/>
    <w:basedOn w:val="Normale"/>
    <w:uiPriority w:val="11"/>
    <w:qFormat/>
    <w:rsid w:val="008B3A45"/>
    <w:pPr>
      <w:tabs>
        <w:tab w:val="left" w:pos="567"/>
        <w:tab w:val="left" w:pos="1134"/>
      </w:tabs>
      <w:jc w:val="left"/>
    </w:pPr>
  </w:style>
  <w:style w:type="character" w:customStyle="1" w:styleId="Titolo5Carattere">
    <w:name w:val="Titolo 5 Carattere"/>
    <w:basedOn w:val="Carpredefinitoparagrafo"/>
    <w:link w:val="Titolo5"/>
    <w:uiPriority w:val="99"/>
    <w:semiHidden/>
    <w:rsid w:val="008B3A45"/>
    <w:rPr>
      <w:rFonts w:asciiTheme="majorHAnsi" w:eastAsiaTheme="majorEastAsia" w:hAnsiTheme="majorHAnsi" w:cstheme="majorBidi"/>
      <w:b/>
      <w:bCs/>
      <w:color w:val="808080"/>
    </w:rPr>
  </w:style>
  <w:style w:type="character" w:customStyle="1" w:styleId="JuITMark">
    <w:name w:val="Ju_ITMark"/>
    <w:basedOn w:val="Carpredefinitoparagrafo"/>
    <w:uiPriority w:val="38"/>
    <w:qFormat/>
    <w:rsid w:val="008B3A45"/>
    <w:rPr>
      <w:vanish w:val="0"/>
      <w:color w:val="auto"/>
      <w:sz w:val="14"/>
    </w:rPr>
  </w:style>
  <w:style w:type="paragraph" w:customStyle="1" w:styleId="OpiTranslation">
    <w:name w:val="Opi_Translation"/>
    <w:basedOn w:val="Normale"/>
    <w:next w:val="OpiPara"/>
    <w:uiPriority w:val="40"/>
    <w:semiHidden/>
    <w:qFormat/>
    <w:rsid w:val="008B3A45"/>
    <w:pPr>
      <w:jc w:val="center"/>
      <w:outlineLvl w:val="0"/>
    </w:pPr>
    <w:rPr>
      <w:i/>
    </w:rPr>
  </w:style>
  <w:style w:type="character" w:styleId="Enfasidelicata">
    <w:name w:val="Subtle Emphasis"/>
    <w:uiPriority w:val="99"/>
    <w:semiHidden/>
    <w:qFormat/>
    <w:rsid w:val="008B3A45"/>
    <w:rPr>
      <w:i/>
      <w:iCs/>
    </w:rPr>
  </w:style>
  <w:style w:type="paragraph" w:customStyle="1" w:styleId="JuCourt">
    <w:name w:val="Ju_Court"/>
    <w:basedOn w:val="Normale"/>
    <w:next w:val="Normale"/>
    <w:uiPriority w:val="16"/>
    <w:qFormat/>
    <w:rsid w:val="008B3A45"/>
    <w:pPr>
      <w:tabs>
        <w:tab w:val="left" w:pos="907"/>
        <w:tab w:val="left" w:pos="1701"/>
        <w:tab w:val="right" w:pos="7371"/>
      </w:tabs>
      <w:spacing w:before="240"/>
      <w:ind w:left="397" w:hanging="397"/>
      <w:jc w:val="left"/>
    </w:pPr>
    <w:rPr>
      <w:lang w:bidi="en-U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
    <w:name w:val="Ju_List"/>
    <w:basedOn w:val="Normale"/>
    <w:uiPriority w:val="28"/>
    <w:qFormat/>
    <w:rsid w:val="008B3A45"/>
    <w:pPr>
      <w:ind w:left="340" w:hanging="340"/>
    </w:pPr>
  </w:style>
  <w:style w:type="paragraph" w:customStyle="1" w:styleId="JuLista">
    <w:name w:val="Ju_List_a"/>
    <w:basedOn w:val="JuList"/>
    <w:uiPriority w:val="28"/>
    <w:qFormat/>
    <w:rsid w:val="008B3A45"/>
    <w:pPr>
      <w:ind w:left="346" w:firstLine="0"/>
    </w:pPr>
  </w:style>
  <w:style w:type="paragraph" w:customStyle="1" w:styleId="ECHRTitleCentre2">
    <w:name w:val="ECHR_Title_Centre_2"/>
    <w:aliases w:val="Dec_H_Case"/>
    <w:basedOn w:val="Normale"/>
    <w:next w:val="ECHRPara"/>
    <w:uiPriority w:val="8"/>
    <w:qFormat/>
    <w:rsid w:val="008B3A45"/>
    <w:pPr>
      <w:spacing w:after="240"/>
      <w:jc w:val="center"/>
      <w:outlineLvl w:val="0"/>
    </w:pPr>
    <w:rPr>
      <w:rFonts w:asciiTheme="majorHAnsi" w:hAnsiTheme="majorHAnsi"/>
    </w:rPr>
  </w:style>
  <w:style w:type="character" w:styleId="Enfasicorsivo">
    <w:name w:val="Emphasis"/>
    <w:uiPriority w:val="99"/>
    <w:semiHidden/>
    <w:qFormat/>
    <w:rsid w:val="008B3A45"/>
    <w:rPr>
      <w:b/>
      <w:bCs/>
      <w:i/>
      <w:iCs/>
      <w:spacing w:val="10"/>
      <w:bdr w:val="none" w:sz="0" w:space="0" w:color="auto"/>
      <w:shd w:val="clear" w:color="auto" w:fill="auto"/>
    </w:rPr>
  </w:style>
  <w:style w:type="paragraph" w:styleId="Pidipagina">
    <w:name w:val="footer"/>
    <w:basedOn w:val="Normale"/>
    <w:link w:val="PidipaginaCarattere"/>
    <w:uiPriority w:val="57"/>
    <w:semiHidden/>
    <w:rsid w:val="008B3A45"/>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8B3A45"/>
    <w:rPr>
      <w:sz w:val="24"/>
    </w:rPr>
  </w:style>
  <w:style w:type="character" w:styleId="Rimandonotaapidipagina">
    <w:name w:val="footnote reference"/>
    <w:basedOn w:val="Carpredefinitoparagrafo"/>
    <w:uiPriority w:val="99"/>
    <w:semiHidden/>
    <w:rsid w:val="008B3A45"/>
    <w:rPr>
      <w:vertAlign w:val="superscript"/>
    </w:rPr>
  </w:style>
  <w:style w:type="paragraph" w:styleId="Testonotaapidipagina">
    <w:name w:val="footnote text"/>
    <w:basedOn w:val="Normale"/>
    <w:link w:val="TestonotaapidipaginaCarattere"/>
    <w:uiPriority w:val="99"/>
    <w:semiHidden/>
    <w:rsid w:val="008B3A45"/>
    <w:rPr>
      <w:sz w:val="20"/>
      <w:szCs w:val="20"/>
    </w:rPr>
  </w:style>
  <w:style w:type="character" w:customStyle="1" w:styleId="TestonotaapidipaginaCarattere">
    <w:name w:val="Testo nota a piè di pagina Carattere"/>
    <w:basedOn w:val="Carpredefinitoparagrafo"/>
    <w:link w:val="Testonotaapidipagina"/>
    <w:uiPriority w:val="99"/>
    <w:semiHidden/>
    <w:rsid w:val="008B3A45"/>
    <w:rPr>
      <w:rFonts w:eastAsiaTheme="minorEastAsia"/>
      <w:sz w:val="20"/>
      <w:szCs w:val="20"/>
    </w:rPr>
  </w:style>
  <w:style w:type="character" w:customStyle="1" w:styleId="Titolo6Carattere">
    <w:name w:val="Titolo 6 Carattere"/>
    <w:basedOn w:val="Carpredefinitoparagrafo"/>
    <w:link w:val="Titolo6"/>
    <w:uiPriority w:val="99"/>
    <w:semiHidden/>
    <w:rsid w:val="008B3A45"/>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8B3A45"/>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8B3A45"/>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8B3A45"/>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8B3A45"/>
    <w:rPr>
      <w:color w:val="0072BC" w:themeColor="hyperlink"/>
      <w:u w:val="single"/>
    </w:rPr>
  </w:style>
  <w:style w:type="character" w:styleId="Enfasiintensa">
    <w:name w:val="Intense Emphasis"/>
    <w:uiPriority w:val="99"/>
    <w:semiHidden/>
    <w:qFormat/>
    <w:rsid w:val="008B3A45"/>
    <w:rPr>
      <w:b/>
      <w:bCs/>
    </w:rPr>
  </w:style>
  <w:style w:type="paragraph" w:styleId="Citazioneintensa">
    <w:name w:val="Intense Quote"/>
    <w:basedOn w:val="Normale"/>
    <w:next w:val="Normale"/>
    <w:link w:val="CitazioneintensaCarattere"/>
    <w:uiPriority w:val="99"/>
    <w:semiHidden/>
    <w:qFormat/>
    <w:rsid w:val="008B3A45"/>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8B3A45"/>
    <w:rPr>
      <w:rFonts w:eastAsiaTheme="minorEastAsia"/>
      <w:b/>
      <w:bCs/>
      <w:i/>
      <w:iCs/>
      <w:lang w:bidi="en-US"/>
    </w:rPr>
  </w:style>
  <w:style w:type="character" w:styleId="Riferimentointenso">
    <w:name w:val="Intense Reference"/>
    <w:uiPriority w:val="99"/>
    <w:semiHidden/>
    <w:qFormat/>
    <w:rsid w:val="008B3A45"/>
    <w:rPr>
      <w:smallCaps/>
      <w:spacing w:val="5"/>
      <w:u w:val="single"/>
    </w:rPr>
  </w:style>
  <w:style w:type="paragraph" w:styleId="Paragrafoelenco">
    <w:name w:val="List Paragraph"/>
    <w:basedOn w:val="Normale"/>
    <w:uiPriority w:val="99"/>
    <w:semiHidden/>
    <w:qFormat/>
    <w:rsid w:val="008B3A45"/>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8B3A45"/>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8B3A45"/>
    <w:rPr>
      <w:rFonts w:eastAsiaTheme="minorEastAsia"/>
      <w:i/>
      <w:iCs/>
      <w:lang w:bidi="en-US"/>
    </w:rPr>
  </w:style>
  <w:style w:type="character" w:styleId="Riferimentodelicato">
    <w:name w:val="Subtle Reference"/>
    <w:uiPriority w:val="99"/>
    <w:semiHidden/>
    <w:qFormat/>
    <w:rsid w:val="008B3A45"/>
    <w:rPr>
      <w:smallCaps/>
    </w:rPr>
  </w:style>
  <w:style w:type="table" w:styleId="Grigliatabella">
    <w:name w:val="Table Grid"/>
    <w:basedOn w:val="Tabellanormale"/>
    <w:uiPriority w:val="59"/>
    <w:semiHidden/>
    <w:rsid w:val="008B3A4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8B3A45"/>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8B3A45"/>
    <w:pPr>
      <w:spacing w:after="60"/>
      <w:ind w:left="680" w:right="340" w:hanging="340"/>
    </w:pPr>
  </w:style>
  <w:style w:type="paragraph" w:styleId="Sommario3">
    <w:name w:val="toc 3"/>
    <w:basedOn w:val="Normale"/>
    <w:next w:val="Normale"/>
    <w:autoRedefine/>
    <w:uiPriority w:val="99"/>
    <w:semiHidden/>
    <w:rsid w:val="008B3A45"/>
    <w:pPr>
      <w:spacing w:after="60"/>
      <w:ind w:left="1020" w:right="340" w:hanging="340"/>
    </w:pPr>
  </w:style>
  <w:style w:type="paragraph" w:styleId="Sommario4">
    <w:name w:val="toc 4"/>
    <w:basedOn w:val="Normale"/>
    <w:next w:val="Normale"/>
    <w:autoRedefine/>
    <w:uiPriority w:val="99"/>
    <w:semiHidden/>
    <w:rsid w:val="008B3A45"/>
    <w:pPr>
      <w:tabs>
        <w:tab w:val="right" w:leader="dot" w:pos="9017"/>
      </w:tabs>
      <w:spacing w:after="60"/>
      <w:ind w:left="1361" w:right="340" w:hanging="340"/>
    </w:pPr>
  </w:style>
  <w:style w:type="paragraph" w:styleId="Sommario5">
    <w:name w:val="toc 5"/>
    <w:basedOn w:val="Normale"/>
    <w:next w:val="Normale"/>
    <w:autoRedefine/>
    <w:uiPriority w:val="99"/>
    <w:semiHidden/>
    <w:rsid w:val="008B3A45"/>
    <w:pPr>
      <w:spacing w:after="60"/>
      <w:ind w:left="1701" w:right="340" w:hanging="340"/>
    </w:pPr>
  </w:style>
  <w:style w:type="paragraph" w:styleId="Titolosommario">
    <w:name w:val="TOC Heading"/>
    <w:basedOn w:val="Titolo1"/>
    <w:next w:val="Normale"/>
    <w:uiPriority w:val="99"/>
    <w:semiHidden/>
    <w:qFormat/>
    <w:rsid w:val="008B3A45"/>
    <w:pPr>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8B3A45"/>
    <w:pPr>
      <w:spacing w:before="120"/>
    </w:pPr>
    <w:rPr>
      <w:rFonts w:asciiTheme="majorHAnsi" w:eastAsiaTheme="majorEastAsia" w:hAnsiTheme="majorHAnsi" w:cstheme="majorBidi"/>
      <w:b/>
      <w:bCs/>
      <w:color w:val="474747" w:themeColor="accent3" w:themeShade="BF"/>
      <w:szCs w:val="24"/>
    </w:rPr>
  </w:style>
  <w:style w:type="paragraph" w:customStyle="1" w:styleId="JuListi">
    <w:name w:val="Ju_List_i"/>
    <w:basedOn w:val="Normale"/>
    <w:next w:val="JuLista"/>
    <w:uiPriority w:val="28"/>
    <w:qFormat/>
    <w:rsid w:val="008B3A45"/>
    <w:pPr>
      <w:ind w:left="794"/>
    </w:pPr>
  </w:style>
  <w:style w:type="paragraph" w:customStyle="1" w:styleId="OpiH1">
    <w:name w:val="Opi_H_1"/>
    <w:basedOn w:val="ECHRHeading2"/>
    <w:uiPriority w:val="42"/>
    <w:semiHidden/>
    <w:qFormat/>
    <w:rsid w:val="008B3A45"/>
    <w:pPr>
      <w:ind w:left="635" w:hanging="357"/>
      <w:outlineLvl w:val="2"/>
    </w:pPr>
  </w:style>
  <w:style w:type="paragraph" w:styleId="Sottotitolo">
    <w:name w:val="Subtitle"/>
    <w:basedOn w:val="Normale"/>
    <w:next w:val="Normale"/>
    <w:link w:val="SottotitoloCarattere"/>
    <w:uiPriority w:val="99"/>
    <w:semiHidden/>
    <w:qFormat/>
    <w:rsid w:val="008B3A45"/>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e"/>
    <w:uiPriority w:val="12"/>
    <w:qFormat/>
    <w:rsid w:val="008B3A45"/>
    <w:pPr>
      <w:ind w:firstLine="284"/>
    </w:pPr>
  </w:style>
  <w:style w:type="character" w:customStyle="1" w:styleId="SottotitoloCarattere">
    <w:name w:val="Sottotitolo Carattere"/>
    <w:basedOn w:val="Carpredefinitoparagrafo"/>
    <w:link w:val="Sottotitolo"/>
    <w:uiPriority w:val="99"/>
    <w:semiHidden/>
    <w:rsid w:val="008B3A45"/>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3"/>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8B3A45"/>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6544C4"/>
    <w:pPr>
      <w:numPr>
        <w:numId w:val="4"/>
      </w:numPr>
    </w:pPr>
  </w:style>
  <w:style w:type="numbering" w:styleId="ArticoloSezione">
    <w:name w:val="Outline List 3"/>
    <w:basedOn w:val="Nessunelenco"/>
    <w:uiPriority w:val="99"/>
    <w:semiHidden/>
    <w:unhideWhenUsed/>
    <w:rsid w:val="006544C4"/>
    <w:pPr>
      <w:numPr>
        <w:numId w:val="5"/>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8B3A45"/>
    <w:pPr>
      <w:tabs>
        <w:tab w:val="center" w:pos="851"/>
        <w:tab w:val="center" w:pos="6407"/>
      </w:tabs>
      <w:spacing w:before="720"/>
      <w:jc w:val="left"/>
    </w:pPr>
  </w:style>
  <w:style w:type="paragraph" w:customStyle="1" w:styleId="JuTitle">
    <w:name w:val="Ju_Title"/>
    <w:basedOn w:val="Normale"/>
    <w:next w:val="ECHRPara"/>
    <w:uiPriority w:val="3"/>
    <w:qFormat/>
    <w:rsid w:val="008B3A45"/>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8B3A45"/>
  </w:style>
  <w:style w:type="paragraph" w:styleId="Puntoelenco2">
    <w:name w:val="List Bullet 2"/>
    <w:basedOn w:val="Normale"/>
    <w:uiPriority w:val="99"/>
    <w:semiHidden/>
    <w:rsid w:val="006544C4"/>
    <w:pPr>
      <w:numPr>
        <w:numId w:val="1"/>
      </w:numPr>
      <w:contextualSpacing/>
    </w:pPr>
  </w:style>
  <w:style w:type="paragraph" w:styleId="Puntoelenco3">
    <w:name w:val="List Bullet 3"/>
    <w:basedOn w:val="Normale"/>
    <w:uiPriority w:val="99"/>
    <w:semiHidden/>
    <w:rsid w:val="006544C4"/>
    <w:pPr>
      <w:numPr>
        <w:numId w:val="2"/>
      </w:numPr>
      <w:contextualSpacing/>
    </w:pPr>
  </w:style>
  <w:style w:type="character" w:customStyle="1" w:styleId="CorpotestoCarattere">
    <w:name w:val="Corpo testo Carattere"/>
    <w:basedOn w:val="Carpredefinitoparagrafo"/>
    <w:link w:val="Corpotesto"/>
    <w:uiPriority w:val="99"/>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44C4"/>
    <w:rPr>
      <w:rFonts w:eastAsiaTheme="minorEastAsia"/>
      <w:sz w:val="24"/>
    </w:rPr>
  </w:style>
  <w:style w:type="paragraph" w:styleId="Rientrocorpodeltesto2">
    <w:name w:val="Body Text Indent 2"/>
    <w:basedOn w:val="Normale"/>
    <w:link w:val="Rientrocorpodeltesto2Carattere"/>
    <w:uiPriority w:val="99"/>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70"/>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uiPriority w:val="99"/>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uiPriority w:val="99"/>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uiPriority w:val="99"/>
    <w:semiHidden/>
    <w:rsid w:val="006544C4"/>
    <w:rPr>
      <w:i/>
      <w:iCs/>
    </w:rPr>
  </w:style>
  <w:style w:type="character" w:customStyle="1" w:styleId="IndirizzoHTMLCarattere">
    <w:name w:val="Indirizzo HTML Carattere"/>
    <w:basedOn w:val="Carpredefinitoparagrafo"/>
    <w:link w:val="IndirizzoHTML"/>
    <w:uiPriority w:val="99"/>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uiPriority w:val="99"/>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uiPriority w:val="99"/>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uiPriority w:val="99"/>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uiPriority w:val="99"/>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uiPriority w:val="99"/>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uiPriority w:val="99"/>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uiPriority w:val="99"/>
    <w:semiHidden/>
    <w:rsid w:val="006544C4"/>
    <w:rPr>
      <w:rFonts w:asciiTheme="majorHAnsi" w:eastAsiaTheme="majorEastAsia" w:hAnsiTheme="majorHAnsi" w:cstheme="majorBidi"/>
      <w:b/>
      <w:bCs/>
    </w:rPr>
  </w:style>
  <w:style w:type="table" w:styleId="Grigliachiara">
    <w:name w:val="Light Grid"/>
    <w:basedOn w:val="Tabellanormale"/>
    <w:uiPriority w:val="62"/>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uiPriority w:val="99"/>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uiPriority w:val="99"/>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6"/>
      </w:numPr>
      <w:contextualSpacing/>
    </w:pPr>
  </w:style>
  <w:style w:type="paragraph" w:styleId="Puntoelenco4">
    <w:name w:val="List Bullet 4"/>
    <w:basedOn w:val="Normale"/>
    <w:uiPriority w:val="99"/>
    <w:semiHidden/>
    <w:rsid w:val="006544C4"/>
    <w:pPr>
      <w:numPr>
        <w:numId w:val="7"/>
      </w:numPr>
      <w:contextualSpacing/>
    </w:pPr>
  </w:style>
  <w:style w:type="paragraph" w:styleId="Puntoelenco5">
    <w:name w:val="List Bullet 5"/>
    <w:basedOn w:val="Normale"/>
    <w:uiPriority w:val="99"/>
    <w:semiHidden/>
    <w:rsid w:val="006544C4"/>
    <w:pPr>
      <w:numPr>
        <w:numId w:val="8"/>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uiPriority w:val="99"/>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uiPriority w:val="99"/>
    <w:semiHidden/>
    <w:rsid w:val="006544C4"/>
    <w:pPr>
      <w:numPr>
        <w:numId w:val="9"/>
      </w:numPr>
      <w:contextualSpacing/>
    </w:pPr>
  </w:style>
  <w:style w:type="paragraph" w:styleId="Numeroelenco2">
    <w:name w:val="List Number 2"/>
    <w:basedOn w:val="Normale"/>
    <w:uiPriority w:val="99"/>
    <w:semiHidden/>
    <w:rsid w:val="006544C4"/>
    <w:pPr>
      <w:numPr>
        <w:numId w:val="10"/>
      </w:numPr>
      <w:contextualSpacing/>
    </w:pPr>
  </w:style>
  <w:style w:type="paragraph" w:styleId="Numeroelenco3">
    <w:name w:val="List Number 3"/>
    <w:basedOn w:val="Normale"/>
    <w:uiPriority w:val="99"/>
    <w:semiHidden/>
    <w:rsid w:val="006544C4"/>
    <w:pPr>
      <w:numPr>
        <w:numId w:val="11"/>
      </w:numPr>
      <w:contextualSpacing/>
    </w:pPr>
  </w:style>
  <w:style w:type="paragraph" w:styleId="Numeroelenco4">
    <w:name w:val="List Number 4"/>
    <w:basedOn w:val="Normale"/>
    <w:uiPriority w:val="99"/>
    <w:semiHidden/>
    <w:rsid w:val="006544C4"/>
    <w:pPr>
      <w:numPr>
        <w:numId w:val="12"/>
      </w:numPr>
      <w:contextualSpacing/>
    </w:pPr>
  </w:style>
  <w:style w:type="paragraph" w:styleId="Numeroelenco5">
    <w:name w:val="List Number 5"/>
    <w:basedOn w:val="Normale"/>
    <w:semiHidden/>
    <w:rsid w:val="006544C4"/>
    <w:pPr>
      <w:numPr>
        <w:numId w:val="13"/>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6544C4"/>
    <w:rPr>
      <w:color w:val="808080"/>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6544C4"/>
    <w:pPr>
      <w:spacing w:after="100"/>
      <w:ind w:left="1200"/>
    </w:pPr>
  </w:style>
  <w:style w:type="paragraph" w:styleId="Sommario7">
    <w:name w:val="toc 7"/>
    <w:basedOn w:val="Normale"/>
    <w:next w:val="Normale"/>
    <w:autoRedefine/>
    <w:uiPriority w:val="99"/>
    <w:semiHidden/>
    <w:rsid w:val="006544C4"/>
    <w:pPr>
      <w:spacing w:after="100"/>
      <w:ind w:left="1440"/>
    </w:p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OpiHa0">
    <w:name w:val="Opi_H_a"/>
    <w:basedOn w:val="ECHRHeading3"/>
    <w:uiPriority w:val="43"/>
    <w:semiHidden/>
    <w:qFormat/>
    <w:rsid w:val="008B3A45"/>
    <w:pPr>
      <w:ind w:left="833" w:hanging="357"/>
      <w:outlineLvl w:val="3"/>
    </w:pPr>
    <w:rPr>
      <w:b/>
      <w:i w:val="0"/>
      <w:sz w:val="20"/>
    </w:rPr>
  </w:style>
  <w:style w:type="paragraph" w:customStyle="1" w:styleId="OpiHi">
    <w:name w:val="Opi_H_i"/>
    <w:basedOn w:val="ECHRHeading4"/>
    <w:uiPriority w:val="44"/>
    <w:semiHidden/>
    <w:qFormat/>
    <w:rsid w:val="008B3A45"/>
    <w:pPr>
      <w:ind w:left="1037" w:hanging="357"/>
      <w:outlineLvl w:val="4"/>
    </w:pPr>
    <w:rPr>
      <w:b w:val="0"/>
      <w:i/>
    </w:rPr>
  </w:style>
  <w:style w:type="character" w:customStyle="1" w:styleId="textcolumn">
    <w:name w:val="textcolumn"/>
    <w:basedOn w:val="Carpredefinitoparagrafo"/>
    <w:rsid w:val="008B3A45"/>
    <w:rPr>
      <w:rFonts w:ascii="Times New Roman" w:hAnsi="Times New Roman" w:cs="Times New Roman"/>
    </w:rPr>
  </w:style>
  <w:style w:type="character" w:customStyle="1" w:styleId="column01">
    <w:name w:val="column01"/>
    <w:basedOn w:val="Carpredefinitoparagrafo"/>
    <w:rsid w:val="008B3A45"/>
  </w:style>
  <w:style w:type="paragraph" w:customStyle="1" w:styleId="DummyStyle">
    <w:name w:val="Dummy_Style"/>
    <w:basedOn w:val="Normale"/>
    <w:semiHidden/>
    <w:qFormat/>
    <w:rsid w:val="008B3A45"/>
    <w:rPr>
      <w:color w:val="00B050"/>
      <w:lang w:bidi="en-US"/>
    </w:rPr>
  </w:style>
  <w:style w:type="character" w:customStyle="1" w:styleId="sb8d990e2">
    <w:name w:val="sb8d990e2"/>
    <w:basedOn w:val="Carpredefinitoparagrafo"/>
    <w:rsid w:val="005234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List Number" w:unhideWhenUsed="0"/>
    <w:lsdException w:name="List 4" w:unhideWhenUsed="0"/>
    <w:lsdException w:name="List 5" w:unhideWhenUsed="0"/>
    <w:lsdException w:name="List Number 5" w:uiPriority="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8B3A45"/>
    <w:pPr>
      <w:jc w:val="both"/>
    </w:pPr>
    <w:rPr>
      <w:rFonts w:eastAsiaTheme="minorEastAsia"/>
      <w:sz w:val="24"/>
    </w:rPr>
  </w:style>
  <w:style w:type="paragraph" w:styleId="Titolo1">
    <w:name w:val="heading 1"/>
    <w:basedOn w:val="Normale"/>
    <w:next w:val="Normale"/>
    <w:link w:val="Titolo1Carattere"/>
    <w:uiPriority w:val="99"/>
    <w:semiHidden/>
    <w:rsid w:val="008B3A45"/>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8B3A45"/>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8B3A45"/>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8B3A45"/>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8B3A45"/>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8B3A45"/>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8B3A45"/>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8B3A45"/>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8B3A45"/>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8B3A4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3A45"/>
    <w:rPr>
      <w:rFonts w:ascii="Tahoma" w:eastAsiaTheme="minorEastAsia" w:hAnsi="Tahoma" w:cs="Tahoma"/>
      <w:sz w:val="16"/>
      <w:szCs w:val="16"/>
    </w:rPr>
  </w:style>
  <w:style w:type="character" w:styleId="Titolodellibro">
    <w:name w:val="Book Title"/>
    <w:uiPriority w:val="99"/>
    <w:semiHidden/>
    <w:qFormat/>
    <w:rsid w:val="008B3A45"/>
    <w:rPr>
      <w:i/>
      <w:iCs/>
      <w:smallCaps/>
      <w:spacing w:val="5"/>
    </w:rPr>
  </w:style>
  <w:style w:type="paragraph" w:customStyle="1" w:styleId="ECHRHeader">
    <w:name w:val="ECHR_Header"/>
    <w:aliases w:val="Ju_Header"/>
    <w:basedOn w:val="Intestazione"/>
    <w:uiPriority w:val="4"/>
    <w:qFormat/>
    <w:rsid w:val="008B3A45"/>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8B3A45"/>
    <w:pPr>
      <w:jc w:val="left"/>
    </w:pPr>
    <w:rPr>
      <w:sz w:val="8"/>
    </w:rPr>
  </w:style>
  <w:style w:type="character" w:styleId="Enfasigrassetto">
    <w:name w:val="Strong"/>
    <w:uiPriority w:val="99"/>
    <w:semiHidden/>
    <w:qFormat/>
    <w:rsid w:val="008B3A45"/>
    <w:rPr>
      <w:b/>
      <w:bCs/>
    </w:rPr>
  </w:style>
  <w:style w:type="paragraph" w:styleId="Nessunaspaziatura">
    <w:name w:val="No Spacing"/>
    <w:basedOn w:val="Normale"/>
    <w:link w:val="NessunaspaziaturaCarattere"/>
    <w:semiHidden/>
    <w:qFormat/>
    <w:rsid w:val="008B3A45"/>
    <w:rPr>
      <w:sz w:val="22"/>
    </w:rPr>
  </w:style>
  <w:style w:type="character" w:customStyle="1" w:styleId="NessunaspaziaturaCarattere">
    <w:name w:val="Nessuna spaziatura Carattere"/>
    <w:basedOn w:val="Carpredefinitoparagrafo"/>
    <w:link w:val="Nessunaspaziatura"/>
    <w:semiHidden/>
    <w:rsid w:val="008B3A45"/>
    <w:rPr>
      <w:rFonts w:eastAsiaTheme="minorEastAsia"/>
    </w:rPr>
  </w:style>
  <w:style w:type="paragraph" w:customStyle="1" w:styleId="ECHRFooterLine">
    <w:name w:val="ECHR_Footer_Line"/>
    <w:aliases w:val="Footer_Line"/>
    <w:basedOn w:val="Normale"/>
    <w:next w:val="ECHRFooter"/>
    <w:uiPriority w:val="57"/>
    <w:semiHidden/>
    <w:rsid w:val="008B3A45"/>
    <w:pPr>
      <w:pBdr>
        <w:top w:val="single" w:sz="6" w:space="1" w:color="5F5F5F"/>
      </w:pBdr>
      <w:tabs>
        <w:tab w:val="center" w:pos="4536"/>
        <w:tab w:val="right" w:pos="9696"/>
      </w:tabs>
      <w:ind w:left="-680" w:right="-680"/>
      <w:jc w:val="left"/>
    </w:pPr>
    <w:rPr>
      <w:color w:val="5F5F5F"/>
    </w:rPr>
  </w:style>
  <w:style w:type="paragraph" w:customStyle="1" w:styleId="ECHRParaQuote">
    <w:name w:val="ECHR_Para_Quote"/>
    <w:aliases w:val="Ju_Quot"/>
    <w:basedOn w:val="Normale"/>
    <w:uiPriority w:val="14"/>
    <w:qFormat/>
    <w:rsid w:val="008B3A45"/>
    <w:pPr>
      <w:spacing w:before="120" w:after="120"/>
      <w:ind w:left="425" w:firstLine="142"/>
    </w:pPr>
    <w:rPr>
      <w:sz w:val="20"/>
    </w:rPr>
  </w:style>
  <w:style w:type="paragraph" w:customStyle="1" w:styleId="JuAppQuestion">
    <w:name w:val="Ju_App_Question"/>
    <w:basedOn w:val="Normale"/>
    <w:uiPriority w:val="5"/>
    <w:qFormat/>
    <w:rsid w:val="008B3A45"/>
    <w:pPr>
      <w:numPr>
        <w:numId w:val="14"/>
      </w:numPr>
      <w:jc w:val="left"/>
    </w:pPr>
    <w:rPr>
      <w:b/>
    </w:rPr>
  </w:style>
  <w:style w:type="paragraph" w:customStyle="1" w:styleId="OpiPara">
    <w:name w:val="Opi_Para"/>
    <w:basedOn w:val="ECHRPara"/>
    <w:uiPriority w:val="46"/>
    <w:semiHidden/>
    <w:qFormat/>
    <w:rsid w:val="008B3A45"/>
  </w:style>
  <w:style w:type="paragraph" w:customStyle="1" w:styleId="JuParaSub">
    <w:name w:val="Ju_Para_Sub"/>
    <w:basedOn w:val="ECHRPara"/>
    <w:uiPriority w:val="13"/>
    <w:qFormat/>
    <w:rsid w:val="008B3A45"/>
    <w:pPr>
      <w:ind w:left="284"/>
    </w:pPr>
  </w:style>
  <w:style w:type="paragraph" w:customStyle="1" w:styleId="OpiParaSub">
    <w:name w:val="Opi_Para_Sub"/>
    <w:basedOn w:val="JuParaSub"/>
    <w:uiPriority w:val="47"/>
    <w:semiHidden/>
    <w:qFormat/>
    <w:rsid w:val="008B3A45"/>
  </w:style>
  <w:style w:type="paragraph" w:customStyle="1" w:styleId="ECHRTitleCentre3">
    <w:name w:val="ECHR_Title_Centre_3"/>
    <w:aliases w:val="Ju_H_Article"/>
    <w:basedOn w:val="Normale"/>
    <w:next w:val="ECHRParaQuote"/>
    <w:uiPriority w:val="27"/>
    <w:qFormat/>
    <w:rsid w:val="008B3A45"/>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semiHidden/>
    <w:qFormat/>
    <w:rsid w:val="008B3A45"/>
    <w:pPr>
      <w:keepNext/>
      <w:keepLines/>
      <w:spacing w:after="240"/>
      <w:jc w:val="center"/>
      <w:outlineLvl w:val="0"/>
    </w:pPr>
    <w:rPr>
      <w:rFonts w:asciiTheme="majorHAnsi" w:hAnsiTheme="majorHAnsi"/>
      <w:sz w:val="28"/>
    </w:rPr>
  </w:style>
  <w:style w:type="paragraph" w:customStyle="1" w:styleId="OpiQuot">
    <w:name w:val="Opi_Quot"/>
    <w:basedOn w:val="ECHRParaQuote"/>
    <w:uiPriority w:val="48"/>
    <w:semiHidden/>
    <w:qFormat/>
    <w:rsid w:val="008B3A45"/>
  </w:style>
  <w:style w:type="paragraph" w:customStyle="1" w:styleId="ECHRTitle1">
    <w:name w:val="ECHR_Title_1"/>
    <w:aliases w:val="Ju_H_Head"/>
    <w:basedOn w:val="Normale"/>
    <w:next w:val="ECHRPara"/>
    <w:uiPriority w:val="18"/>
    <w:qFormat/>
    <w:rsid w:val="008B3A45"/>
    <w:pPr>
      <w:keepNext/>
      <w:keepLines/>
      <w:spacing w:before="720" w:after="240"/>
      <w:outlineLvl w:val="0"/>
    </w:pPr>
    <w:rPr>
      <w:rFonts w:asciiTheme="majorHAnsi" w:hAnsiTheme="majorHAnsi"/>
      <w:sz w:val="28"/>
    </w:rPr>
  </w:style>
  <w:style w:type="paragraph" w:customStyle="1" w:styleId="OpiQuotSub">
    <w:name w:val="Opi_Quot_Sub"/>
    <w:basedOn w:val="JuQuotSub"/>
    <w:uiPriority w:val="49"/>
    <w:semiHidden/>
    <w:qFormat/>
    <w:rsid w:val="008B3A45"/>
  </w:style>
  <w:style w:type="paragraph" w:styleId="Titolo">
    <w:name w:val="Title"/>
    <w:basedOn w:val="Normale"/>
    <w:next w:val="Normale"/>
    <w:link w:val="TitoloCarattere"/>
    <w:uiPriority w:val="99"/>
    <w:semiHidden/>
    <w:qFormat/>
    <w:rsid w:val="008B3A4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8B3A45"/>
    <w:rPr>
      <w:rFonts w:asciiTheme="majorHAnsi" w:eastAsiaTheme="majorEastAsia" w:hAnsiTheme="majorHAnsi" w:cstheme="majorBidi"/>
      <w:spacing w:val="5"/>
      <w:sz w:val="52"/>
      <w:szCs w:val="52"/>
      <w:lang w:bidi="en-US"/>
    </w:rPr>
  </w:style>
  <w:style w:type="paragraph" w:customStyle="1" w:styleId="JuCase">
    <w:name w:val="Ju_Case"/>
    <w:basedOn w:val="Normale"/>
    <w:next w:val="ECHRPara"/>
    <w:uiPriority w:val="10"/>
    <w:semiHidden/>
    <w:rsid w:val="008B3A45"/>
    <w:pPr>
      <w:ind w:firstLine="284"/>
    </w:pPr>
    <w:rPr>
      <w:b/>
    </w:rPr>
  </w:style>
  <w:style w:type="paragraph" w:customStyle="1" w:styleId="JuQuotSub">
    <w:name w:val="Ju_Quot_Sub"/>
    <w:basedOn w:val="ECHRParaQuote"/>
    <w:uiPriority w:val="15"/>
    <w:qFormat/>
    <w:rsid w:val="008B3A45"/>
    <w:pPr>
      <w:ind w:left="567"/>
    </w:pPr>
  </w:style>
  <w:style w:type="paragraph" w:customStyle="1" w:styleId="JuInitialled">
    <w:name w:val="Ju_Initialled"/>
    <w:basedOn w:val="Normale"/>
    <w:uiPriority w:val="31"/>
    <w:qFormat/>
    <w:rsid w:val="008B3A45"/>
    <w:pPr>
      <w:tabs>
        <w:tab w:val="center" w:pos="6407"/>
      </w:tabs>
      <w:spacing w:before="720"/>
      <w:jc w:val="right"/>
    </w:pPr>
  </w:style>
  <w:style w:type="paragraph" w:customStyle="1" w:styleId="OpiHA">
    <w:name w:val="Opi_H_A"/>
    <w:basedOn w:val="ECHRHeading1"/>
    <w:next w:val="OpiPara"/>
    <w:uiPriority w:val="41"/>
    <w:semiHidden/>
    <w:qFormat/>
    <w:rsid w:val="008B3A45"/>
    <w:pPr>
      <w:tabs>
        <w:tab w:val="clear" w:pos="357"/>
      </w:tabs>
      <w:outlineLvl w:val="1"/>
    </w:pPr>
    <w:rPr>
      <w:b/>
    </w:rPr>
  </w:style>
  <w:style w:type="character" w:customStyle="1" w:styleId="JUNAMES">
    <w:name w:val="JU_NAMES"/>
    <w:uiPriority w:val="17"/>
    <w:qFormat/>
    <w:rsid w:val="008B3A45"/>
    <w:rPr>
      <w:caps w:val="0"/>
      <w:smallCaps/>
    </w:rPr>
  </w:style>
  <w:style w:type="paragraph" w:customStyle="1" w:styleId="ECHRHeading1">
    <w:name w:val="ECHR_Heading_1"/>
    <w:aliases w:val="Ju_H_I_Roman"/>
    <w:basedOn w:val="Titolo1"/>
    <w:next w:val="ECHRPara"/>
    <w:uiPriority w:val="19"/>
    <w:qFormat/>
    <w:rsid w:val="008B3A45"/>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8B3A45"/>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8B3A45"/>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8B3A45"/>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8B3A45"/>
    <w:rPr>
      <w:sz w:val="24"/>
    </w:rPr>
  </w:style>
  <w:style w:type="character" w:customStyle="1" w:styleId="Titolo1Carattere">
    <w:name w:val="Titolo 1 Carattere"/>
    <w:basedOn w:val="Carpredefinitoparagrafo"/>
    <w:link w:val="Titolo1"/>
    <w:uiPriority w:val="99"/>
    <w:semiHidden/>
    <w:rsid w:val="008B3A45"/>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ECHRPara"/>
    <w:uiPriority w:val="22"/>
    <w:qFormat/>
    <w:rsid w:val="008B3A45"/>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8B3A45"/>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8B3A45"/>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ECHRPara"/>
    <w:uiPriority w:val="24"/>
    <w:qFormat/>
    <w:rsid w:val="008B3A45"/>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ECHRPara"/>
    <w:uiPriority w:val="25"/>
    <w:qFormat/>
    <w:rsid w:val="008B3A45"/>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8B3A45"/>
    <w:rPr>
      <w:rFonts w:asciiTheme="majorHAnsi" w:eastAsiaTheme="majorEastAsia" w:hAnsiTheme="majorHAnsi" w:cstheme="majorBidi"/>
      <w:b/>
      <w:bCs/>
      <w:color w:val="5F5F5F"/>
      <w:sz w:val="24"/>
    </w:rPr>
  </w:style>
  <w:style w:type="paragraph" w:customStyle="1" w:styleId="JuParaLast">
    <w:name w:val="Ju_Para_Last"/>
    <w:basedOn w:val="Normale"/>
    <w:next w:val="ECHRPara"/>
    <w:uiPriority w:val="30"/>
    <w:qFormat/>
    <w:rsid w:val="008B3A45"/>
    <w:pPr>
      <w:keepNext/>
      <w:keepLines/>
      <w:spacing w:before="240"/>
      <w:ind w:firstLine="284"/>
    </w:pPr>
  </w:style>
  <w:style w:type="paragraph" w:customStyle="1" w:styleId="DecList">
    <w:name w:val="Dec_List"/>
    <w:basedOn w:val="Normale"/>
    <w:uiPriority w:val="9"/>
    <w:qFormat/>
    <w:rsid w:val="008B3A45"/>
    <w:pPr>
      <w:spacing w:before="240"/>
      <w:ind w:left="284"/>
    </w:pPr>
  </w:style>
  <w:style w:type="character" w:customStyle="1" w:styleId="Titolo4Carattere">
    <w:name w:val="Titolo 4 Carattere"/>
    <w:basedOn w:val="Carpredefinitoparagrafo"/>
    <w:link w:val="Titolo4"/>
    <w:uiPriority w:val="99"/>
    <w:semiHidden/>
    <w:rsid w:val="008B3A45"/>
    <w:rPr>
      <w:rFonts w:asciiTheme="majorHAnsi" w:eastAsiaTheme="majorEastAsia" w:hAnsiTheme="majorHAnsi" w:cstheme="majorBidi"/>
      <w:b/>
      <w:bCs/>
      <w:i/>
      <w:iCs/>
      <w:color w:val="777777"/>
      <w:sz w:val="24"/>
    </w:rPr>
  </w:style>
  <w:style w:type="paragraph" w:customStyle="1" w:styleId="ECHRDecisionBody">
    <w:name w:val="ECHR_Decision_Body"/>
    <w:aliases w:val="Ju_Judges"/>
    <w:basedOn w:val="Normale"/>
    <w:uiPriority w:val="11"/>
    <w:qFormat/>
    <w:rsid w:val="008B3A45"/>
    <w:pPr>
      <w:tabs>
        <w:tab w:val="left" w:pos="567"/>
        <w:tab w:val="left" w:pos="1134"/>
      </w:tabs>
      <w:jc w:val="left"/>
    </w:pPr>
  </w:style>
  <w:style w:type="character" w:customStyle="1" w:styleId="Titolo5Carattere">
    <w:name w:val="Titolo 5 Carattere"/>
    <w:basedOn w:val="Carpredefinitoparagrafo"/>
    <w:link w:val="Titolo5"/>
    <w:uiPriority w:val="99"/>
    <w:semiHidden/>
    <w:rsid w:val="008B3A45"/>
    <w:rPr>
      <w:rFonts w:asciiTheme="majorHAnsi" w:eastAsiaTheme="majorEastAsia" w:hAnsiTheme="majorHAnsi" w:cstheme="majorBidi"/>
      <w:b/>
      <w:bCs/>
      <w:color w:val="808080"/>
    </w:rPr>
  </w:style>
  <w:style w:type="character" w:customStyle="1" w:styleId="JuITMark">
    <w:name w:val="Ju_ITMark"/>
    <w:basedOn w:val="Carpredefinitoparagrafo"/>
    <w:uiPriority w:val="38"/>
    <w:qFormat/>
    <w:rsid w:val="008B3A45"/>
    <w:rPr>
      <w:vanish w:val="0"/>
      <w:color w:val="auto"/>
      <w:sz w:val="14"/>
    </w:rPr>
  </w:style>
  <w:style w:type="paragraph" w:customStyle="1" w:styleId="OpiTranslation">
    <w:name w:val="Opi_Translation"/>
    <w:basedOn w:val="Normale"/>
    <w:next w:val="OpiPara"/>
    <w:uiPriority w:val="40"/>
    <w:semiHidden/>
    <w:qFormat/>
    <w:rsid w:val="008B3A45"/>
    <w:pPr>
      <w:jc w:val="center"/>
      <w:outlineLvl w:val="0"/>
    </w:pPr>
    <w:rPr>
      <w:i/>
    </w:rPr>
  </w:style>
  <w:style w:type="character" w:styleId="Enfasidelicata">
    <w:name w:val="Subtle Emphasis"/>
    <w:uiPriority w:val="99"/>
    <w:semiHidden/>
    <w:qFormat/>
    <w:rsid w:val="008B3A45"/>
    <w:rPr>
      <w:i/>
      <w:iCs/>
    </w:rPr>
  </w:style>
  <w:style w:type="paragraph" w:customStyle="1" w:styleId="JuCourt">
    <w:name w:val="Ju_Court"/>
    <w:basedOn w:val="Normale"/>
    <w:next w:val="Normale"/>
    <w:uiPriority w:val="16"/>
    <w:qFormat/>
    <w:rsid w:val="008B3A45"/>
    <w:pPr>
      <w:tabs>
        <w:tab w:val="left" w:pos="907"/>
        <w:tab w:val="left" w:pos="1701"/>
        <w:tab w:val="right" w:pos="7371"/>
      </w:tabs>
      <w:spacing w:before="240"/>
      <w:ind w:left="397" w:hanging="397"/>
      <w:jc w:val="left"/>
    </w:pPr>
    <w:rPr>
      <w:lang w:bidi="en-U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
    <w:name w:val="Ju_List"/>
    <w:basedOn w:val="Normale"/>
    <w:uiPriority w:val="28"/>
    <w:qFormat/>
    <w:rsid w:val="008B3A45"/>
    <w:pPr>
      <w:ind w:left="340" w:hanging="340"/>
    </w:pPr>
  </w:style>
  <w:style w:type="paragraph" w:customStyle="1" w:styleId="JuLista">
    <w:name w:val="Ju_List_a"/>
    <w:basedOn w:val="JuList"/>
    <w:uiPriority w:val="28"/>
    <w:qFormat/>
    <w:rsid w:val="008B3A45"/>
    <w:pPr>
      <w:ind w:left="346" w:firstLine="0"/>
    </w:pPr>
  </w:style>
  <w:style w:type="paragraph" w:customStyle="1" w:styleId="ECHRTitleCentre2">
    <w:name w:val="ECHR_Title_Centre_2"/>
    <w:aliases w:val="Dec_H_Case"/>
    <w:basedOn w:val="Normale"/>
    <w:next w:val="ECHRPara"/>
    <w:uiPriority w:val="8"/>
    <w:qFormat/>
    <w:rsid w:val="008B3A45"/>
    <w:pPr>
      <w:spacing w:after="240"/>
      <w:jc w:val="center"/>
      <w:outlineLvl w:val="0"/>
    </w:pPr>
    <w:rPr>
      <w:rFonts w:asciiTheme="majorHAnsi" w:hAnsiTheme="majorHAnsi"/>
    </w:rPr>
  </w:style>
  <w:style w:type="character" w:styleId="Enfasicorsivo">
    <w:name w:val="Emphasis"/>
    <w:uiPriority w:val="99"/>
    <w:semiHidden/>
    <w:qFormat/>
    <w:rsid w:val="008B3A45"/>
    <w:rPr>
      <w:b/>
      <w:bCs/>
      <w:i/>
      <w:iCs/>
      <w:spacing w:val="10"/>
      <w:bdr w:val="none" w:sz="0" w:space="0" w:color="auto"/>
      <w:shd w:val="clear" w:color="auto" w:fill="auto"/>
    </w:rPr>
  </w:style>
  <w:style w:type="paragraph" w:styleId="Pidipagina">
    <w:name w:val="footer"/>
    <w:basedOn w:val="Normale"/>
    <w:link w:val="PidipaginaCarattere"/>
    <w:uiPriority w:val="57"/>
    <w:semiHidden/>
    <w:rsid w:val="008B3A45"/>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8B3A45"/>
    <w:rPr>
      <w:sz w:val="24"/>
    </w:rPr>
  </w:style>
  <w:style w:type="character" w:styleId="Rimandonotaapidipagina">
    <w:name w:val="footnote reference"/>
    <w:basedOn w:val="Carpredefinitoparagrafo"/>
    <w:uiPriority w:val="99"/>
    <w:semiHidden/>
    <w:rsid w:val="008B3A45"/>
    <w:rPr>
      <w:vertAlign w:val="superscript"/>
    </w:rPr>
  </w:style>
  <w:style w:type="paragraph" w:styleId="Testonotaapidipagina">
    <w:name w:val="footnote text"/>
    <w:basedOn w:val="Normale"/>
    <w:link w:val="TestonotaapidipaginaCarattere"/>
    <w:uiPriority w:val="99"/>
    <w:semiHidden/>
    <w:rsid w:val="008B3A45"/>
    <w:rPr>
      <w:sz w:val="20"/>
      <w:szCs w:val="20"/>
    </w:rPr>
  </w:style>
  <w:style w:type="character" w:customStyle="1" w:styleId="TestonotaapidipaginaCarattere">
    <w:name w:val="Testo nota a piè di pagina Carattere"/>
    <w:basedOn w:val="Carpredefinitoparagrafo"/>
    <w:link w:val="Testonotaapidipagina"/>
    <w:uiPriority w:val="99"/>
    <w:semiHidden/>
    <w:rsid w:val="008B3A45"/>
    <w:rPr>
      <w:rFonts w:eastAsiaTheme="minorEastAsia"/>
      <w:sz w:val="20"/>
      <w:szCs w:val="20"/>
    </w:rPr>
  </w:style>
  <w:style w:type="character" w:customStyle="1" w:styleId="Titolo6Carattere">
    <w:name w:val="Titolo 6 Carattere"/>
    <w:basedOn w:val="Carpredefinitoparagrafo"/>
    <w:link w:val="Titolo6"/>
    <w:uiPriority w:val="99"/>
    <w:semiHidden/>
    <w:rsid w:val="008B3A45"/>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8B3A45"/>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8B3A45"/>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8B3A45"/>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8B3A45"/>
    <w:rPr>
      <w:color w:val="0072BC" w:themeColor="hyperlink"/>
      <w:u w:val="single"/>
    </w:rPr>
  </w:style>
  <w:style w:type="character" w:styleId="Enfasiintensa">
    <w:name w:val="Intense Emphasis"/>
    <w:uiPriority w:val="99"/>
    <w:semiHidden/>
    <w:qFormat/>
    <w:rsid w:val="008B3A45"/>
    <w:rPr>
      <w:b/>
      <w:bCs/>
    </w:rPr>
  </w:style>
  <w:style w:type="paragraph" w:styleId="Citazioneintensa">
    <w:name w:val="Intense Quote"/>
    <w:basedOn w:val="Normale"/>
    <w:next w:val="Normale"/>
    <w:link w:val="CitazioneintensaCarattere"/>
    <w:uiPriority w:val="99"/>
    <w:semiHidden/>
    <w:qFormat/>
    <w:rsid w:val="008B3A45"/>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8B3A45"/>
    <w:rPr>
      <w:rFonts w:eastAsiaTheme="minorEastAsia"/>
      <w:b/>
      <w:bCs/>
      <w:i/>
      <w:iCs/>
      <w:lang w:bidi="en-US"/>
    </w:rPr>
  </w:style>
  <w:style w:type="character" w:styleId="Riferimentointenso">
    <w:name w:val="Intense Reference"/>
    <w:uiPriority w:val="99"/>
    <w:semiHidden/>
    <w:qFormat/>
    <w:rsid w:val="008B3A45"/>
    <w:rPr>
      <w:smallCaps/>
      <w:spacing w:val="5"/>
      <w:u w:val="single"/>
    </w:rPr>
  </w:style>
  <w:style w:type="paragraph" w:styleId="Paragrafoelenco">
    <w:name w:val="List Paragraph"/>
    <w:basedOn w:val="Normale"/>
    <w:uiPriority w:val="99"/>
    <w:semiHidden/>
    <w:qFormat/>
    <w:rsid w:val="008B3A45"/>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8B3A45"/>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8B3A45"/>
    <w:rPr>
      <w:rFonts w:eastAsiaTheme="minorEastAsia"/>
      <w:i/>
      <w:iCs/>
      <w:lang w:bidi="en-US"/>
    </w:rPr>
  </w:style>
  <w:style w:type="character" w:styleId="Riferimentodelicato">
    <w:name w:val="Subtle Reference"/>
    <w:uiPriority w:val="99"/>
    <w:semiHidden/>
    <w:qFormat/>
    <w:rsid w:val="008B3A45"/>
    <w:rPr>
      <w:smallCaps/>
    </w:rPr>
  </w:style>
  <w:style w:type="table" w:styleId="Grigliatabella">
    <w:name w:val="Table Grid"/>
    <w:basedOn w:val="Tabellanormale"/>
    <w:uiPriority w:val="59"/>
    <w:semiHidden/>
    <w:rsid w:val="008B3A4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8B3A45"/>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8B3A45"/>
    <w:pPr>
      <w:spacing w:after="60"/>
      <w:ind w:left="680" w:right="340" w:hanging="340"/>
    </w:pPr>
  </w:style>
  <w:style w:type="paragraph" w:styleId="Sommario3">
    <w:name w:val="toc 3"/>
    <w:basedOn w:val="Normale"/>
    <w:next w:val="Normale"/>
    <w:autoRedefine/>
    <w:uiPriority w:val="99"/>
    <w:semiHidden/>
    <w:rsid w:val="008B3A45"/>
    <w:pPr>
      <w:spacing w:after="60"/>
      <w:ind w:left="1020" w:right="340" w:hanging="340"/>
    </w:pPr>
  </w:style>
  <w:style w:type="paragraph" w:styleId="Sommario4">
    <w:name w:val="toc 4"/>
    <w:basedOn w:val="Normale"/>
    <w:next w:val="Normale"/>
    <w:autoRedefine/>
    <w:uiPriority w:val="99"/>
    <w:semiHidden/>
    <w:rsid w:val="008B3A45"/>
    <w:pPr>
      <w:tabs>
        <w:tab w:val="right" w:leader="dot" w:pos="9017"/>
      </w:tabs>
      <w:spacing w:after="60"/>
      <w:ind w:left="1361" w:right="340" w:hanging="340"/>
    </w:pPr>
  </w:style>
  <w:style w:type="paragraph" w:styleId="Sommario5">
    <w:name w:val="toc 5"/>
    <w:basedOn w:val="Normale"/>
    <w:next w:val="Normale"/>
    <w:autoRedefine/>
    <w:uiPriority w:val="99"/>
    <w:semiHidden/>
    <w:rsid w:val="008B3A45"/>
    <w:pPr>
      <w:spacing w:after="60"/>
      <w:ind w:left="1701" w:right="340" w:hanging="340"/>
    </w:pPr>
  </w:style>
  <w:style w:type="paragraph" w:styleId="Titolosommario">
    <w:name w:val="TOC Heading"/>
    <w:basedOn w:val="Titolo1"/>
    <w:next w:val="Normale"/>
    <w:uiPriority w:val="99"/>
    <w:semiHidden/>
    <w:qFormat/>
    <w:rsid w:val="008B3A45"/>
    <w:pPr>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8B3A45"/>
    <w:pPr>
      <w:spacing w:before="120"/>
    </w:pPr>
    <w:rPr>
      <w:rFonts w:asciiTheme="majorHAnsi" w:eastAsiaTheme="majorEastAsia" w:hAnsiTheme="majorHAnsi" w:cstheme="majorBidi"/>
      <w:b/>
      <w:bCs/>
      <w:color w:val="474747" w:themeColor="accent3" w:themeShade="BF"/>
      <w:szCs w:val="24"/>
    </w:rPr>
  </w:style>
  <w:style w:type="paragraph" w:customStyle="1" w:styleId="JuListi">
    <w:name w:val="Ju_List_i"/>
    <w:basedOn w:val="Normale"/>
    <w:next w:val="JuLista"/>
    <w:uiPriority w:val="28"/>
    <w:qFormat/>
    <w:rsid w:val="008B3A45"/>
    <w:pPr>
      <w:ind w:left="794"/>
    </w:pPr>
  </w:style>
  <w:style w:type="paragraph" w:customStyle="1" w:styleId="OpiH1">
    <w:name w:val="Opi_H_1"/>
    <w:basedOn w:val="ECHRHeading2"/>
    <w:uiPriority w:val="42"/>
    <w:semiHidden/>
    <w:qFormat/>
    <w:rsid w:val="008B3A45"/>
    <w:pPr>
      <w:ind w:left="635" w:hanging="357"/>
      <w:outlineLvl w:val="2"/>
    </w:pPr>
  </w:style>
  <w:style w:type="paragraph" w:styleId="Sottotitolo">
    <w:name w:val="Subtitle"/>
    <w:basedOn w:val="Normale"/>
    <w:next w:val="Normale"/>
    <w:link w:val="SottotitoloCarattere"/>
    <w:uiPriority w:val="99"/>
    <w:semiHidden/>
    <w:qFormat/>
    <w:rsid w:val="008B3A45"/>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e"/>
    <w:uiPriority w:val="12"/>
    <w:qFormat/>
    <w:rsid w:val="008B3A45"/>
    <w:pPr>
      <w:ind w:firstLine="284"/>
    </w:pPr>
  </w:style>
  <w:style w:type="character" w:customStyle="1" w:styleId="SottotitoloCarattere">
    <w:name w:val="Sottotitolo Carattere"/>
    <w:basedOn w:val="Carpredefinitoparagrafo"/>
    <w:link w:val="Sottotitolo"/>
    <w:uiPriority w:val="99"/>
    <w:semiHidden/>
    <w:rsid w:val="008B3A45"/>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3"/>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8B3A45"/>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6544C4"/>
    <w:pPr>
      <w:numPr>
        <w:numId w:val="4"/>
      </w:numPr>
    </w:pPr>
  </w:style>
  <w:style w:type="numbering" w:styleId="ArticoloSezione">
    <w:name w:val="Outline List 3"/>
    <w:basedOn w:val="Nessunelenco"/>
    <w:uiPriority w:val="99"/>
    <w:semiHidden/>
    <w:unhideWhenUsed/>
    <w:rsid w:val="006544C4"/>
    <w:pPr>
      <w:numPr>
        <w:numId w:val="5"/>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8B3A45"/>
    <w:pPr>
      <w:tabs>
        <w:tab w:val="center" w:pos="851"/>
        <w:tab w:val="center" w:pos="6407"/>
      </w:tabs>
      <w:spacing w:before="720"/>
      <w:jc w:val="left"/>
    </w:pPr>
  </w:style>
  <w:style w:type="paragraph" w:customStyle="1" w:styleId="JuTitle">
    <w:name w:val="Ju_Title"/>
    <w:basedOn w:val="Normale"/>
    <w:next w:val="ECHRPara"/>
    <w:uiPriority w:val="3"/>
    <w:qFormat/>
    <w:rsid w:val="008B3A45"/>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8B3A45"/>
  </w:style>
  <w:style w:type="paragraph" w:styleId="Puntoelenco2">
    <w:name w:val="List Bullet 2"/>
    <w:basedOn w:val="Normale"/>
    <w:uiPriority w:val="99"/>
    <w:semiHidden/>
    <w:rsid w:val="006544C4"/>
    <w:pPr>
      <w:numPr>
        <w:numId w:val="1"/>
      </w:numPr>
      <w:contextualSpacing/>
    </w:pPr>
  </w:style>
  <w:style w:type="paragraph" w:styleId="Puntoelenco3">
    <w:name w:val="List Bullet 3"/>
    <w:basedOn w:val="Normale"/>
    <w:uiPriority w:val="99"/>
    <w:semiHidden/>
    <w:rsid w:val="006544C4"/>
    <w:pPr>
      <w:numPr>
        <w:numId w:val="2"/>
      </w:numPr>
      <w:contextualSpacing/>
    </w:pPr>
  </w:style>
  <w:style w:type="character" w:customStyle="1" w:styleId="CorpotestoCarattere">
    <w:name w:val="Corpo testo Carattere"/>
    <w:basedOn w:val="Carpredefinitoparagrafo"/>
    <w:link w:val="Corpotesto"/>
    <w:uiPriority w:val="99"/>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44C4"/>
    <w:rPr>
      <w:rFonts w:eastAsiaTheme="minorEastAsia"/>
      <w:sz w:val="24"/>
    </w:rPr>
  </w:style>
  <w:style w:type="paragraph" w:styleId="Rientrocorpodeltesto2">
    <w:name w:val="Body Text Indent 2"/>
    <w:basedOn w:val="Normale"/>
    <w:link w:val="Rientrocorpodeltesto2Carattere"/>
    <w:uiPriority w:val="99"/>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70"/>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uiPriority w:val="99"/>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uiPriority w:val="99"/>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uiPriority w:val="99"/>
    <w:semiHidden/>
    <w:rsid w:val="006544C4"/>
    <w:rPr>
      <w:i/>
      <w:iCs/>
    </w:rPr>
  </w:style>
  <w:style w:type="character" w:customStyle="1" w:styleId="IndirizzoHTMLCarattere">
    <w:name w:val="Indirizzo HTML Carattere"/>
    <w:basedOn w:val="Carpredefinitoparagrafo"/>
    <w:link w:val="IndirizzoHTML"/>
    <w:uiPriority w:val="99"/>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uiPriority w:val="99"/>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uiPriority w:val="99"/>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uiPriority w:val="99"/>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uiPriority w:val="99"/>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uiPriority w:val="99"/>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uiPriority w:val="99"/>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uiPriority w:val="99"/>
    <w:semiHidden/>
    <w:rsid w:val="006544C4"/>
    <w:rPr>
      <w:rFonts w:asciiTheme="majorHAnsi" w:eastAsiaTheme="majorEastAsia" w:hAnsiTheme="majorHAnsi" w:cstheme="majorBidi"/>
      <w:b/>
      <w:bCs/>
    </w:rPr>
  </w:style>
  <w:style w:type="table" w:styleId="Grigliachiara">
    <w:name w:val="Light Grid"/>
    <w:basedOn w:val="Tabellanormale"/>
    <w:uiPriority w:val="62"/>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uiPriority w:val="99"/>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uiPriority w:val="99"/>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6"/>
      </w:numPr>
      <w:contextualSpacing/>
    </w:pPr>
  </w:style>
  <w:style w:type="paragraph" w:styleId="Puntoelenco4">
    <w:name w:val="List Bullet 4"/>
    <w:basedOn w:val="Normale"/>
    <w:uiPriority w:val="99"/>
    <w:semiHidden/>
    <w:rsid w:val="006544C4"/>
    <w:pPr>
      <w:numPr>
        <w:numId w:val="7"/>
      </w:numPr>
      <w:contextualSpacing/>
    </w:pPr>
  </w:style>
  <w:style w:type="paragraph" w:styleId="Puntoelenco5">
    <w:name w:val="List Bullet 5"/>
    <w:basedOn w:val="Normale"/>
    <w:uiPriority w:val="99"/>
    <w:semiHidden/>
    <w:rsid w:val="006544C4"/>
    <w:pPr>
      <w:numPr>
        <w:numId w:val="8"/>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uiPriority w:val="99"/>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uiPriority w:val="99"/>
    <w:semiHidden/>
    <w:rsid w:val="006544C4"/>
    <w:pPr>
      <w:numPr>
        <w:numId w:val="9"/>
      </w:numPr>
      <w:contextualSpacing/>
    </w:pPr>
  </w:style>
  <w:style w:type="paragraph" w:styleId="Numeroelenco2">
    <w:name w:val="List Number 2"/>
    <w:basedOn w:val="Normale"/>
    <w:uiPriority w:val="99"/>
    <w:semiHidden/>
    <w:rsid w:val="006544C4"/>
    <w:pPr>
      <w:numPr>
        <w:numId w:val="10"/>
      </w:numPr>
      <w:contextualSpacing/>
    </w:pPr>
  </w:style>
  <w:style w:type="paragraph" w:styleId="Numeroelenco3">
    <w:name w:val="List Number 3"/>
    <w:basedOn w:val="Normale"/>
    <w:uiPriority w:val="99"/>
    <w:semiHidden/>
    <w:rsid w:val="006544C4"/>
    <w:pPr>
      <w:numPr>
        <w:numId w:val="11"/>
      </w:numPr>
      <w:contextualSpacing/>
    </w:pPr>
  </w:style>
  <w:style w:type="paragraph" w:styleId="Numeroelenco4">
    <w:name w:val="List Number 4"/>
    <w:basedOn w:val="Normale"/>
    <w:uiPriority w:val="99"/>
    <w:semiHidden/>
    <w:rsid w:val="006544C4"/>
    <w:pPr>
      <w:numPr>
        <w:numId w:val="12"/>
      </w:numPr>
      <w:contextualSpacing/>
    </w:pPr>
  </w:style>
  <w:style w:type="paragraph" w:styleId="Numeroelenco5">
    <w:name w:val="List Number 5"/>
    <w:basedOn w:val="Normale"/>
    <w:semiHidden/>
    <w:rsid w:val="006544C4"/>
    <w:pPr>
      <w:numPr>
        <w:numId w:val="13"/>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6544C4"/>
    <w:rPr>
      <w:color w:val="808080"/>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6544C4"/>
    <w:pPr>
      <w:spacing w:after="100"/>
      <w:ind w:left="1200"/>
    </w:pPr>
  </w:style>
  <w:style w:type="paragraph" w:styleId="Sommario7">
    <w:name w:val="toc 7"/>
    <w:basedOn w:val="Normale"/>
    <w:next w:val="Normale"/>
    <w:autoRedefine/>
    <w:uiPriority w:val="99"/>
    <w:semiHidden/>
    <w:rsid w:val="006544C4"/>
    <w:pPr>
      <w:spacing w:after="100"/>
      <w:ind w:left="1440"/>
    </w:p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OpiHa0">
    <w:name w:val="Opi_H_a"/>
    <w:basedOn w:val="ECHRHeading3"/>
    <w:uiPriority w:val="43"/>
    <w:semiHidden/>
    <w:qFormat/>
    <w:rsid w:val="008B3A45"/>
    <w:pPr>
      <w:ind w:left="833" w:hanging="357"/>
      <w:outlineLvl w:val="3"/>
    </w:pPr>
    <w:rPr>
      <w:b/>
      <w:i w:val="0"/>
      <w:sz w:val="20"/>
    </w:rPr>
  </w:style>
  <w:style w:type="paragraph" w:customStyle="1" w:styleId="OpiHi">
    <w:name w:val="Opi_H_i"/>
    <w:basedOn w:val="ECHRHeading4"/>
    <w:uiPriority w:val="44"/>
    <w:semiHidden/>
    <w:qFormat/>
    <w:rsid w:val="008B3A45"/>
    <w:pPr>
      <w:ind w:left="1037" w:hanging="357"/>
      <w:outlineLvl w:val="4"/>
    </w:pPr>
    <w:rPr>
      <w:b w:val="0"/>
      <w:i/>
    </w:rPr>
  </w:style>
  <w:style w:type="character" w:customStyle="1" w:styleId="textcolumn">
    <w:name w:val="textcolumn"/>
    <w:basedOn w:val="Carpredefinitoparagrafo"/>
    <w:rsid w:val="008B3A45"/>
    <w:rPr>
      <w:rFonts w:ascii="Times New Roman" w:hAnsi="Times New Roman" w:cs="Times New Roman"/>
    </w:rPr>
  </w:style>
  <w:style w:type="character" w:customStyle="1" w:styleId="column01">
    <w:name w:val="column01"/>
    <w:basedOn w:val="Carpredefinitoparagrafo"/>
    <w:rsid w:val="008B3A45"/>
  </w:style>
  <w:style w:type="paragraph" w:customStyle="1" w:styleId="DummyStyle">
    <w:name w:val="Dummy_Style"/>
    <w:basedOn w:val="Normale"/>
    <w:semiHidden/>
    <w:qFormat/>
    <w:rsid w:val="008B3A45"/>
    <w:rPr>
      <w:color w:val="00B050"/>
      <w:lang w:bidi="en-US"/>
    </w:rPr>
  </w:style>
  <w:style w:type="character" w:customStyle="1" w:styleId="sb8d990e2">
    <w:name w:val="sb8d990e2"/>
    <w:basedOn w:val="Carpredefinitoparagrafo"/>
    <w:rsid w:val="00523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195D5-FA66-450D-98B3-75DA356A79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00C04-3E80-4AA1-AB9A-38A92BDCF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62B71D9-83E6-4FC3-BE61-BD33E613DF7A}">
  <ds:schemaRefs>
    <ds:schemaRef ds:uri="http://schemas.microsoft.com/sharepoint/v3/contenttype/forms"/>
  </ds:schemaRefs>
</ds:datastoreItem>
</file>

<file path=customXml/itemProps4.xml><?xml version="1.0" encoding="utf-8"?>
<ds:datastoreItem xmlns:ds="http://schemas.openxmlformats.org/officeDocument/2006/customXml" ds:itemID="{917CB7A2-6721-49AB-84EA-FB5373F34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2873</Words>
  <Characters>15633</Characters>
  <Application>Microsoft Office Word</Application>
  <DocSecurity>0</DocSecurity>
  <Lines>289</Lines>
  <Paragraphs>69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LinksUpToDate>false</LinksUpToDate>
  <CharactersWithSpaces>18437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2015-10-30T10:40:00Z</dcterms:created>
  <dcterms:modified xsi:type="dcterms:W3CDTF">2015-11-05T14:39:00Z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18976/13</vt:lpwstr>
  </property>
  <property fmtid="{D5CDD505-2E9C-101B-9397-08002B2CF9AE}" pid="4" name="CASEID">
    <vt:lpwstr>872833</vt:lpwstr>
  </property>
  <property fmtid="{D5CDD505-2E9C-101B-9397-08002B2CF9AE}" pid="5" name="OrigTemp">
    <vt:lpwstr>French\Documents\DF01 Decisions et Rapports\Reports automation IT ONLY\Décision.dotx</vt:lpwstr>
  </property>
  <property fmtid="{D5CDD505-2E9C-101B-9397-08002B2CF9AE}" pid="6" name="ContentTypeId">
    <vt:lpwstr>0x010100558EB02BDB9E204AB350EDD385B68E10</vt:lpwstr>
  </property>
</Properties>
</file>